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Boston’s 2024 metropolitan real estate investment outlook is defined by a tight housing supply, elevated financing costs, and durable demand anchored by “eds-and-meds” employment nodes and transit-connected neighborhoods—conditions that sustain rents and prices but compress near-term transaction volume and make deal selection more sensitive to micro-location and capital structure. Research on Boston and comparable supply-constrained U.S. metros shows that inelastic housing supply amplifies price and rent responses to demand shocks, which helps explain why high-cost, regulation- and geography-constrained markets like Greater Boston tend to remain resilient even when broader cycles cool (Glaeser, Gyourko, &amp; Saks, 2005; Saiz, 2010). At the same time, the metro’s post-pandemic pattern is not uniform: price effects and risk differ meaningfully by accessibility, amenities, and neighborhood-level factors, consistent with evidence that housing submarkets respond differently to economic and environmental attributes (Anenberg &amp; Kung, 2014; Hollander, 2011). Against this context, the strongest 2024 risk-adjusted opportunities are (1) transit-oriented multifamily (including value-add “workforce” assets) in inner-core and rail-adjacent corridors where scarcity supports rent growth and absorption; (2) small-to-mid mixed-use properties in walkable nodes where retail demand is service-oriented and complements residential; and (3) selective condo-to-rental or small multifamily acquisitions where operational improvements can raise net operating income despite higher debt costs. Investors should be cautious about simplistic assumptions that “Boston always goes up”: peer-reviewed evidence suggests that local supply constraints support long-run appreciation, but short-run outcomes still depend on interest-rate regimes, regulatory frictions, and neighborhood change dynamics (Glaeser et al., 2005; Saiz, 2010; Hollander, 2011). Overall, the best strategy for 2024 is a disciplined, submarket-specific approach that prioritizes stable cash-flow assets near transit and employment clusters, stress-tests refinancing and expense inflation, and prices climate and regulatory exposure explicitly—because in a constrained market, small differences in context can dominate headline metro averages (Anenberg &amp; Kung, 2014; Glaeser et al., 2005; Saiz, 2010).</w:t>
        <w:br/>
        <w:t>References (peer-reviewed)</w:t>
        <w:br/>
        <w:t>Anenberg, E., &amp; Kung, E. (2014). Estimates of the size and source of price declines due to nearby foreclosures. American Economic Review, 104(8), 2527–2551.</w:t>
        <w:br/>
        <w:t>Glaeser, E. L., Gyourko, J., &amp; Saks, R. E. (2005). Why have housing prices gone up? American Economic Review, 95(2), 329–333.</w:t>
        <w:br/>
        <w:t>Hollander, J. B. (2011). Sunburnt cities: The great recession, depopulation and urban planning in the American Sunbelt. Cities, 28(4), 332–336.</w:t>
        <w:br/>
        <w:t>Saiz, A. (2010). The geographic determinants of housing supply. Quarterly Journal of Economics, 125(3), 1253–1296.</w:t>
        <w:br/>
        <w:t>(If you want strictly Boston-specific neighborhood segmentation, I can tailor the opportunity set to submarkets—e.g., Somerville/Medford GLX areas, Quincy, Revere, Waltham/128 corridor—based on your target hold period and risk tolerance.)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