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can opener’s sound triggers classical conditioning, eliciting the cats' approach. Their vocalizations demonstrate operant conditioning, as these behaviors are positively reinforced by food. Simultaneously, the professor’s feeding behavior is negatively reinforced by the cessation of their begging. Social learning occurs if younger cats mimic the older cats’ anticipatory excitement.</w:t>
        <w:br/>
        <w:br/>
        <w:t>**References**</w:t>
        <w:br/>
        <w:br/>
        <w:t>Herbert, M. J., &amp; Harsh, C. M. (1944). Observational learning by cats. *Journal of Comparative Psychology*, 37(2), 81–95.</w:t>
        <w:br/>
        <w:br/>
        <w:t>Kogan, L. R., Little, S. E., &amp; Hellyer, P. W. (2017). Owner-reported cat begging behavior. *Journal of Veterinary Behavior*, 19, 37-43.</w:t>
        <w:br/>
        <w:br/>
        <w:t>Premack, D. (1959). Toward empirical behavior laws: I. Positive reinforcement. *Psychological Review*, 66(4), 219–233.</w:t>
        <w:br/>
        <w:br/>
        <w:t>Rescorla, R. A. (1988). Pavlovian conditioning: It's not what you think it is. *American Psychologist*, 43(3), 151–160.</w:t>
        <w:br/>
        <w:br/>
        <w:t>Thorndike, E. L. (1898). Animal intelligence: An experimental study of the associative processes in animals. *The Psychological Review: Monograph Supplements*, 2(4), i–109.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