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t>**Essay**</w:t>
        <w:br/>
        <w:br/>
        <w:t>This scenario illustrates a behavioral triad. The opener’s sound triggers classical conditioning in the cats. Their affection acts as operant conditioning, positively reinforcing the professor’s feeding behavior, while the food reinforces their rubbing. Furthermore, the collective frenzy suggests social learning, where the cats mimic each other's anticipation to maximize resource acquisition.</w:t>
        <w:br/>
        <w:br/>
        <w:t>**References**</w:t>
        <w:br/>
        <w:br/>
        <w:t>Bradshaw, J. W. S. (2018). Normal feline behaviour: … and why problem behaviours develop. *Journal of Feline Medicine and Surgery*, 20(5), 411–421.</w:t>
        <w:br/>
        <w:br/>
        <w:t>Feuerstein, N., &amp; Terkel, J. (2008). Interrelationships of dogs (Canis familiaris) and cats (Felis catus) living under the same roof. *Applied Animal Behaviour Science*, 113(1-3), 150-165.</w:t>
        <w:br/>
        <w:br/>
        <w:t>Herbert, M. J., &amp; Harsh, C. M. (1944). Observational learning by cats. *Journal of Comparative Psychology*, 37(2), 81–95.</w:t>
        <w:br/>
        <w:br/>
        <w:t>Rescorla, R. A. (1988). Pavlovian conditioning: It's not what you think it is. *American Psychologist*, 43(3), 151–160.</w:t>
        <w:br/>
        <w:br/>
        <w:t>Skinner, B. F. (1951). How to teach animals. *Scientific American*, 185(6), 26-29.</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