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can-opening sound becomes a conditioned stimulus predicting food, eliciting cats’ approach, purring, and rubbing as conditioned responses. Their rubbing is also operantly conditioned: past attention or feeding reinforced it. Professor Catlove’s opening routine may be reinforced by affectionate cues. Cats may also learn by observing others’ rushing behavior.</w:t>
        <w:br/>
        <w:br/>
        <w:t xml:space="preserve">**Peer-reviewed sources (examples):**  </w:t>
        <w:br/>
        <w:t xml:space="preserve">Pavlov, I. P. (1927). *Conditioned Reflexes*. Oxford University Press.  </w:t>
        <w:br/>
        <w:t xml:space="preserve">Skinner, B. F. (1938). *The Behavior of Organisms*. Appleton-Century.  </w:t>
        <w:br/>
        <w:t xml:space="preserve">Bandura, A. (1977). Social learning theory. *General Learning Press*.  </w:t>
        <w:br/>
        <w:t xml:space="preserve">Felisberti, F., &amp; Kock, N. (2009). Behavioral responses of domestic cats to human communicative cues. *Animal Cognition, 12*(1), 55–61.  </w:t>
        <w:br/>
        <w:t>Galef, B. G., Jr., &amp; Laland, K. N. (2005). Social learning in animals: Empirical studies and theoretical models. *Bioscience, 55*(6), 489–499.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