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**Essay**</w:t>
        <w:br/>
        <w:br/>
        <w:t>Data trends suggest spending increases inversely correlate with declining growth.</w:t>
        <w:br/>
        <w:br/>
        <w:t>**References**</w:t>
        <w:br/>
        <w:br/>
        <w:t>Afonso, A., &amp; Furceri, D. (2010). Government size, composition, volatility and economic growth. *European Journal of Political Economy*, 26(4), 517-532.</w:t>
        <w:br/>
        <w:br/>
        <w:t>Bergh, A., &amp; Henrekson, M. (2011). Government size and growth: A survey and interpretation of the evidence. *Journal of Economic Surveys*, 25(5), 872-897.</w:t>
        <w:br/>
        <w:br/>
        <w:t>Colombier, C. (2009). Growth effects of fiscal policies: An application of robust modified M-estimator. *Applied Economics*, 41(7), 899-912.</w:t>
        <w:br/>
        <w:br/>
        <w:t>Dimelis, S., &amp; Papaioannou, S. (2010). Public investment and growth in the EU. *Review of Development Economics*, 14(1), 74-87.</w:t>
        <w:br/>
        <w:br/>
        <w:t>Fölster, S., &amp; Henrekson, M. (2001). Growth effects of government expenditure and taxation in rich countries. *European Economic Review*, 45(8), 1501-1520.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