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Pavlovian Cats and Their Conditioned Professor</w:t>
        <w:br/>
        <w:br/>
        <w:t>Professor Catlove's morning ritual demonstrates multiple learning principles. The cats exhibit classical conditioning: the can-opening sound (conditioned stimulus) triggers salivation and excitement (conditioned response) through pairing with food (unconditioned stimulus). Their rubbing behavior reflects operant conditioning—previously reinforced actions that increased food delivery likelihood. Professor Catlove shows conditioned behavior too; his cats' responses reinforce his morning feeding routine, strengthening the behavior cycle.</w:t>
        <w:br/>
        <w:br/>
        <w:t>## References</w:t>
        <w:br/>
        <w:br/>
        <w:t>Domjan, M. (2005). Pavlovian conditioning: A functional perspective. *Annual Review of Psychology*, 56, 179-206.</w:t>
        <w:br/>
        <w:br/>
        <w:t>Bouton, M. E. (2007). Learning and behavior: A contemporary synthesis. *Sinauer Associates*, 1-34.</w:t>
        <w:br/>
        <w:br/>
        <w:t>Skinner, B. F. (1963). Operant behavior. *American Psychologist*, 18(8), 503-515.</w:t>
        <w:br/>
        <w:br/>
        <w:t>Rescorla, R. A. (1988). Pavlovian conditioning: It's not what you think it is. *American Psychologist*, 43(3), 151-160.</w:t>
        <w:br/>
        <w:br/>
        <w:t>Staddon, J. E., &amp; Cerutti, D. T. (2003). Operant conditioning. *Annual Review of Psychology*, 54(1), 115-144.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