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 opener’s sound triggers the cats’ approach via classical conditioning, associating noise with food. Operant conditioning reinforces their leg-rubbing with the reward of eating, while the professor is reinforced to feed them to stop the meowing. Furthermore, younger cats likely acquire these behaviors through social learning by observing the group.</w:t>
        <w:br/>
        <w:br/>
        <w:t>**References**</w:t>
        <w:br/>
        <w:br/>
        <w:t>Galef, B. G., &amp; Laland, K. N. (2005). Social learning in animals: Empirical studies and theoretical models. *BioScience*, 55(6), 489-499.</w:t>
        <w:br/>
        <w:br/>
        <w:t>Herbert, M. J., &amp; Harsh, C. M. (1944). Observational learning by cats. *Journal of Comparative Psychology*, 37(2), 81-95.</w:t>
        <w:br/>
        <w:br/>
        <w:t>Rescorla, R. A. (1988). Pavlovian conditioning: It's not what you think it is. *American Psychologist*, 43(3), 151-160.</w:t>
        <w:br/>
        <w:br/>
        <w:t>Skinner, B. F. (1963). Operant behavior. *American Psychologist*, 18(8), 503-515.</w:t>
        <w:br/>
        <w:br/>
        <w:t>Vitale Shreve, K. R., &amp; Udell, M. A. (2015). What’s inside your cat’s head? A review of cat (Felis catus) ecological and social cognition. *Behavioural Processes*, 119,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