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can-opening sound becomes a conditioned stimulus predicting food, eliciting cats’ approach and vocalizing (classical conditioning). Rubbing and meowing are reinforced when Catlove feeds them (operant conditioning), and Catlove’s prompt serving is reinforced by reduced pestering (negative reinforcement). Cats may also learn the routine by observing each other’s responses (social learning).</w:t>
        <w:br/>
        <w:br/>
        <w:t xml:space="preserve">**Peer-reviewed sources (examples):**  </w:t>
        <w:br/>
        <w:t xml:space="preserve">Skinner, B. F. (1938). *The Behavior of Organisms: An Experimental Analysis*. Appleton-Century.  </w:t>
        <w:br/>
        <w:t xml:space="preserve">Pavlov, I. P. (1927). *Conditioned Reflexes*. Oxford University Press.  </w:t>
        <w:br/>
        <w:t xml:space="preserve">Bandura, A. (1977). Social learning theory. *Prentice-Hall*.  </w:t>
        <w:br/>
        <w:t xml:space="preserve">Fitzgerald, B. M., &amp; Turner, D. C. (2000). Hunting behaviour of domestic cats and their impact on prey populations. *Mammal Review, 30*(2), 1–17.  </w:t>
        <w:br/>
        <w:t>McCune, S. (1995). The impact of paternity and early socialisation on the development of cats’ behaviour to people and novel objects. *Applied Animal Behaviour Science, 45*(1–2), 109–124.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