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can opener’s sound predicts food, triggering the cats’ physiological arousal via classical conditioning. Simultaneously, operant conditioning reinforces leg-rubbing through feeding, while the Professor is reinforced by the cessation of meowing. Social learning likely occurs as cats mimic each other’s anticipatory behaviors, creating a complex, mutual feedback loop of interspecies reinforcement.</w:t>
        <w:br/>
        <w:br/>
        <w:t>**References**</w:t>
        <w:br/>
        <w:br/>
        <w:t>1. Bandura, A. (1977). Social learning theory. *General Learning Press*.</w:t>
        <w:br/>
        <w:t>2. Rescorla, R. A. (1988). Pavlovian conditioning: It's not what you think it is. *American Psychologist*, 43(3), 151–160.</w:t>
        <w:br/>
        <w:t>3. Skinner, B. F. (1963). Operant behavior. *American Psychologist*, 18(8), 503–515.</w:t>
        <w:br/>
        <w:t>4. Vitale, K. R., &amp; Udell, M. A. R. (2019). The quality of being sociable: The influence of human interaction on cat behavior. *Applied Animal Behaviour Science*, 213, 11-18.</w:t>
        <w:br/>
        <w:t>5. Zentall, T. R. (2012). Perspectives on observational learning in animals. *Journal of Comparative Psychology*, 126(2), 114–128.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