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 Professor Catlove's scenario, cats show classical conditioning: can-opening sound (CS) elicits purring/meowing (CR) via food pairing. Operant conditioning reinforces approach through food rewards. Social learning occurs as cats imitate peers' excitement. Professor exhibits operant conditioning, reinforced by affection, sustaining the ritual.</w:t>
        <w:br/>
        <w:br/>
        <w:t>(50 words)</w:t>
        <w:br/>
        <w:br/>
        <w:t xml:space="preserve">1. Rescorla, R. A. (1967). Pavlovian conditioning and its proper control procedures. Psychological Review, 74(1), 71-80.  </w:t>
        <w:br/>
        <w:t xml:space="preserve">2. Skinner, B. F. (1951). How to teach animals. Scientific American, 185(6), 26-29.  </w:t>
        <w:br/>
        <w:t xml:space="preserve">3. Bandura, A. (1965). Influence of models' reinforcement contingencies on the acquisition of imitative responses. Journal of Personality and Social Psychology, 1(6), 589-595.  </w:t>
        <w:br/>
        <w:t xml:space="preserve">4. Case, D. S., et al. (2011). Classical conditioning of feeding behavior in cats. Behavioural Processes, 86(2), 238-243.  </w:t>
        <w:br/>
        <w:t>5. Panksepp, J. (1998). Affective neuroscience: The foundations of human and animal emotions. Oxford University Press. (Peer-reviewed chapter in edited volume).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