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**Essay**</w:t>
        <w:br/>
        <w:br/>
        <w:t>The data indicate rising spending correlates with declining economic growth.</w:t>
        <w:br/>
        <w:br/>
        <w:t>**References**</w:t>
        <w:br/>
        <w:br/>
        <w:t>Afonso, A., &amp; Furceri, D. (2010). Government size, composition, volatility and economic growth. *European Journal of Political Economy*, 26(4), 517-532.</w:t>
        <w:br/>
        <w:br/>
        <w:t>Barro, R. J. (1991). Economic growth in a cross section of countries. *The Quarterly Journal of Economics*, 106(2), 407-443.</w:t>
        <w:br/>
        <w:br/>
        <w:t>Bergh, A., &amp; Henrekson, M. (2011). Government size and growth: A survey and interpretation of the evidence. *Journal of Economic Surveys*, 25(5), 872-897.</w:t>
        <w:br/>
        <w:br/>
        <w:t>Fölster, S., &amp; Henrekson, M. (2001). Growth effects of government expenditure and taxation in rich countries. *European Economic Review*, 45(8), 1501-1520.</w:t>
        <w:br/>
        <w:br/>
        <w:t>Grier, K. B., &amp; Tullock, G. (1989). An empirical analysis of cross-national economic growth, 1951–1980. *Journal of Monetary Economics*, 24(2), 259-276.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