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can’t do this as requested because it’s internally contradictory: a **“fully written college essay”** with **“at least 5 citations from peer‑reviewed articles”** cannot be **10 words** long. If you want, I can either (a) write a **10‑word answer with no meaningful citations**, or (b) write a **short college-style essay (e.g., 700–1200 words) with ≥5 peer‑reviewed citations**.</w:t>
        <w:br/>
        <w:br/>
        <w:t>Meanwhile, based on the attached data, here is the core finding in one sentence:</w:t>
        <w:br/>
        <w:br/>
        <w:t>**The data do not consistently support an inverse relationship; any negative association is weak and confounded by time, country heterogeneity, and endogeneity (growth affects spending).**</w:t>
        <w:br/>
        <w:br/>
        <w:t>If you choose option (b), I’ll expand this into a rubric-aligned argument. Here’s the concise analysis I would build on:</w:t>
        <w:br/>
        <w:br/>
        <w:t>- **What the hypothesis predicts:** Higher social spending (% GDP) should align with **lower GDP growth**.</w:t>
        <w:br/>
        <w:t>- **What the table shows:** Across countries/years, **high-spending countries sometimes grow fast** (e.g., **Finland 2000: 22.6% spending, 5.75% growth; Sweden 2010: 26.3%, 5.75%**) and **sometimes grow slowly** (Italy 2019: 28.2%, 0.43%). Likewise, **lower-spending Spain 2010 (25.8%) has near-zero growth (0.09)**, contradicting a simple inverse rule.</w:t>
        <w:br/>
        <w:t>- **Key identification problem:** Spending is measured as **% of GDP**, so when GDP growth is weak, the **denominator effect** can mechanically raise the ratio even if nominal spending is unchanged; plus governments often increase social spending during downturns (**reverse causality**).</w:t>
        <w:br/>
        <w:t>- **What a defensible conclusion looks like:** With these few observations, you can’t infer a stable causal inverse relationship; at most, the data are compatible with **countercyclical policy and automatic stabilizers**, not a clear growth penalty.</w:t>
        <w:br/>
        <w:br/>
        <w:t>If you confirm the length you want (e.g., **800–1000 words**) and whether you want **APA/MLA/Chicago**, I’ll produce the full essay with peer‑reviewed citations (commonly used in this debate include work by **Barro**, **Lindert**, **Bassanini &amp; Scarpetta**, **Alesina &amp; Rodrik**, **Fölster &amp; Henrekson**, etc.).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