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Analysis of Social Welfare Spending and Economic Growth Correlation</w:t>
        <w:br/>
        <w:br/>
        <w:t>The economic data presented fail to substantiate the inverse relationship hypothesis convincingly. Multiple counterexamples emerge: Sweden combined 26.1% welfare spending with robust 2.55% growth (2019), while Italy's comparable 28.2% spending yielded merely 0.43% growth, demonstrating spending levels alone inadequately predict economic performance. Finland's trajectory proves particularly illuminating—welfare spending increased from 22.6% (2000) to 28.7% (2019), yet growth rates fluctuated dramatically (5.75% in 2000, 1.35% in 2019), suggesting intervening variables beyond social expenditure drive economic outcomes.</w:t>
        <w:br/>
        <w:br/>
        <w:t>Temporal analysis reveals correlation instability across observation periods. Germany's 2010 performance (25.9% spending, 4.15% growth) contradicts the hypothesis directly, as does Spain's 2005 data (20.4% spending, 3.55% growth) compared to 2010 (25.8% spending, 0.09% growth)—the dramatic growth collapse coinciding with increased spending superficially supports the hypothesis but ignores the 2008 financial crisis's confounding effects.</w:t>
        <w:br/>
        <w:br/>
        <w:t>Cross-national comparisons further complicate causal inference. High-spending France (31.2%) and lower-spending Norway (25.0%) both achieved approximately 2% growth rates in 2019, indicating spending differences of 6.2 percentage points produced negligible growth differentials. Conversely, countries with similar spending levels demonstrated wildly divergent outcomes—Austria (26.6%, 1.75% growth) versus Sweden (26.1%, 2.55% growth)—undermining any deterministic spending-growth relationship.</w:t>
        <w:br/>
        <w:br/>
        <w:t>The hypothesis oversimplifies multifactorial economic dynamics. As Afonso and Furceri (2010) demonstrate, social spending's growth effects depend critically on financing mechanisms, productive efficiency, and institutional quality rather than expenditure levels alone. Bergh and Henrekson (2011) establish that spending composition matters substantially—investments in education and active labor market policies generate positive returns, while pure transfer payments may reduce growth, rendering aggregate spending metrics analytically insufficient.</w:t>
        <w:br/>
        <w:br/>
        <w:t>Endogeneity problems plague simple correlational interpretations. Tanzi and Schuknecht (2000) argue that wealthy nations afford higher social spending precisely because prior growth created fiscal capacity, reversing assumed causality. Lindert (2004) provides historical evidence that well-designed welfare states achieved strong growth precisely by maintaining productive labor forces and social stability. Alesina and Ardagna (2010) complicate matters further, showing fiscal consolidation's growth effects vary dramatically depending on whether spending cuts or tax increases predominate, and whether monetary policy accommodates fiscal adjustments.</w:t>
        <w:br/>
        <w:br/>
        <w:t>The data's limitation to OECD high-income countries restricts generalizability. These nations share institutional characteristics—democratic governance, market economies, social cohesion—that may overwhelm spending-growth relationships observable in more heterogeneous samples. Furthermore, annual growth rates exhibit volatility from business cycles, commodity price shocks, and global financial conditions unrelated to domestic social policy choices.</w:t>
        <w:br/>
        <w:br/>
        <w:t>**Conclusion**: The data provide weak, inconsistent support for an inverse spending-growth relationship. While some observations align with the hypothesis (France's high spending and modest growth), equally numerous counterexamples exist (Sweden's high spending and strong growth; Germany's 2010 performance). The relationship appears conditional on numerous omitted variables—institutional quality, spending composition, financing methods, external economic shocks, and demographic factors—that these aggregate statistics cannot capture. Any claimed inverse relationship represents spurious correlation rather than causal mechanism without controlling for confounding variables and addressing reverse causality concerns.</w:t>
        <w:br/>
        <w:br/>
        <w:t>---</w:t>
        <w:br/>
        <w:br/>
        <w:t>## References</w:t>
        <w:br/>
        <w:br/>
        <w:t>Afonso, A., &amp; Furceri, D. (2010). Government size, composition, volatility and economic growth. *European Journal of Political Economy, 26*(4), 517-532.</w:t>
        <w:br/>
        <w:br/>
        <w:t>Alesina, A., &amp; Ardagna, S. (2010). Large changes in fiscal policy: Taxes versus spending. *Tax Policy and the Economy, 24*(1), 35-68.</w:t>
        <w:br/>
        <w:br/>
        <w:t>Bergh, A., &amp; Henrekson, M. (2011). Government size and growth: A survey and interpretation of the evidence. *Journal of Economic Surveys, 25*(5), 872-897.</w:t>
        <w:br/>
        <w:br/>
        <w:t>Lindert, P. H. (2004). *Growing public: Social spending and economic growth since the eighteenth century*. Cambridge University Press.</w:t>
        <w:br/>
        <w:br/>
        <w:t>Tanzi, V., &amp; Schuknecht, L. (2000). *Public spending in the 20th century: A global perspective*.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