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Morning Ritual**</w:t>
        <w:br/>
        <w:br/>
        <w:t>Classical conditioning occurs when the can’s sound triggers the cats’ approach. Their rubbing and meowing illustrate operant conditioning, positively reinforced by food. Simultaneously, the Professor undergoes negative reinforcement, feeding them to stop the vocalizations. Social learning is evident if younger cats previously modeled their anticipatory enthusiasm after observing older conspecifics.</w:t>
        <w:br/>
        <w:br/>
        <w:t>**References**</w:t>
        <w:br/>
        <w:br/>
        <w:t>Bandura, A. (1977). Self-efficacy: Toward a unifying theory of behavioral change. *Psychological Review*, 84(2), 191–215.</w:t>
        <w:br/>
        <w:br/>
        <w:t>Rescorla, R. A. (1988). Pavlovian conditioning: It's not what you think it is. *American Psychologist*, 43(3), 151–160.</w:t>
        <w:br/>
        <w:br/>
        <w:t>Skinner, B. F. (1948). 'Superstition' in the pigeon. *Journal of Experimental Psychology*, 38(2), 168–172.</w:t>
        <w:br/>
        <w:br/>
        <w:t>Vitale Shreve, K. R., &amp; Udell, M. A. (2015). What’s inside your cat’s head? A review of cat (Felis silvestris catus) cognition research past, present and future. *Animal Cognition*, 18(6), 1195–1206.</w:t>
        <w:br/>
        <w:br/>
        <w:t>Zentall, T. R. (2006). Imitation: Definitions, evidence, and mechanisms. *Animal Cognition*, 9(4), 335–353.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