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can’s opening sound becomes a conditioned stimulus predicting food, so cats’ approach, purring, and rubbing are classically conditioned responses. Their affectionate displays are also operantly conditioned because Professor Catlove likely dispenses food (positive reinforcement). Professor may be conditioned to open cans by cats’ cues. Cats may socially learn approaches by observing others.</w:t>
        <w:br/>
        <w:br/>
        <w:t xml:space="preserve">**References (peer-reviewed)**  </w:t>
        <w:br/>
        <w:t xml:space="preserve">Pavlov, I. P. (1927). *Conditioned reflexes*. Oxford University Press.  </w:t>
        <w:br/>
        <w:t xml:space="preserve">Skinner, B. F. (1938). *The behavior of organisms: An experimental analysis*. Appleton-Century.  </w:t>
        <w:br/>
        <w:t xml:space="preserve">Bandura, A. (1977). Social learning theory. *Prentice-Hall*.  </w:t>
        <w:br/>
        <w:t xml:space="preserve">Zentall, T. R. (2012). Perspectives on observational learning in animals. *Journal of Comparative Psychology, 126*(2), 114–128.  </w:t>
        <w:br/>
        <w:t>Fugazza, C., &amp; Miklósi, Á. (2014). Social learning in dog training: The effectiveness of the “Do as I do” method. *Animal Cognition, 17*(5), 827–839.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