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**The Essay**</w:t>
        <w:br/>
        <w:br/>
        <w:t>Classical conditioning occurs when the can’s sound elicits the cats’ approach. Simultaneously, operant conditioning positively reinforces the cats’ vocalizations through food rewards. Conversely, the professor experiences negative reinforcement; feeding the cats eliminates their persistent begging. Social learning is likely absent, as these behaviors are primarily instinctual or individually reinforced.</w:t>
        <w:br/>
        <w:br/>
        <w:t>**References**</w:t>
        <w:br/>
        <w:br/>
        <w:t>Bandura, A. (1965). Influence of models' reinforcement contingencies on the acquisition of imitative responses. *Journal of Personality and Social Psychology*, 1(6), 589.</w:t>
        <w:br/>
        <w:br/>
        <w:t>Gromov, V. S. (2020). Classical conditioning and operant conditioning: A review of theoretical issues. *Biology Bulletin*, 47, 915-926.</w:t>
        <w:br/>
        <w:br/>
        <w:t>Rescorla, R. A. (1988). Pavlovian conditioning: It's not what you think it is. *American Psychologist*, 43(3), 151.</w:t>
        <w:br/>
        <w:br/>
        <w:t>Skinner, B. F. (1963). Operant behavior. *American Psychologist*, 18(8), 503.</w:t>
        <w:br/>
        <w:br/>
        <w:t>Thorndike, E. L. (1898). Animal intelligence: An experimental study of the associative processes in animals. *The Psychological Review: Monograph Supplements*, 2(4), 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