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this scene, cats exhibit classical conditioning: can-opening sound (CS) elicits running/purring after pairing with food (US). Operant conditioning reinforces meowing/rubbing via food rewards. Social learning may occur if cats imitate each other. Professor shows operant conditioning: cats' affection positively reinforces his routine.</w:t>
        <w:br/>
        <w:br/>
        <w:t>(50 words)</w:t>
        <w:br/>
        <w:br/>
        <w:t xml:space="preserve">Pavlov, I. P. (2003). Conditioned reflexes. Dover Publications.  </w:t>
        <w:br/>
        <w:t xml:space="preserve">Skinner, B. F. (1953). Science and human behavior. Macmillan.  </w:t>
        <w:br/>
        <w:t xml:space="preserve">Bandura, A. (1977). Social learning theory. Prentice Hall.  </w:t>
        <w:br/>
        <w:t xml:space="preserve">Rescorla, R. A. (1988). Pavlovian conditioning: It’s not what you think it is. *American Psychologist, 43*(3), 151-160.  </w:t>
        <w:br/>
        <w:t>Timberlake, W. (2006). Evolution-based learning mechanisms in animals. *Comparative Cognition &amp; Behavior Reviews, 1*, 1-24.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