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Boston’s metropolitan real estate investment market in 2024 remained defined by structural supply constraints, elevated financing costs, and unusually resilient demand tied to the region’s “eds-and-meds” labor base. In line with peer‑reviewed evidence that local supply in highly regulated, high‑amenity metros responds weakly to price signals, Boston’s persistent underbuilding continued to support rents and prices even as transaction volume stayed muted (Glaeser &amp; Gyourko, 2003; Saiz, 2010). Higher interest rates in 2024 reduced affordability and bid depth, reinforcing a “lock‑in” dynamic where existing owners—especially those with low legacy mortgage rates—were less willing to sell, tightening for‑sale inventory and shifting marginal demand toward rentals; this behavior is consistent with research showing frictions and illiquidity amplify housing market cycles and slow market clearing (Stein, 1995). For investors, the key market insight was that Boston’s risk is less about near‑term demand collapse and more about basis risk (overpaying relative to achievable stabilized cash flow under current cap rates) and regulatory risk (zoning, permitting, rent policy uncertainty), both of which can be material in constrained coastal metros (Glaeser &amp; Gyourko, 2003). The best opportunities therefore tended to cluster where (1) durable renter demand intersects with (2) repricing or operational upside: value‑add multifamily (energy retrofits, unit reconfiguration, expense rationalization) in transit‑served inner suburbs (e.g., parts of Quincy, Malden, Medford) and “workforce” rentals near hospital/university employment nodes, because peer‑reviewed work indicates high‑skill agglomerations support persistent housing demand and price premia (Glaeser, Kolko, &amp; Saiz, 2001). A second opportunity set in 2024 was the conversion or repositioning of select underutilized office and older commercial assets—where physically and legally feasible—into residential or mixed use, reflecting the long‑run premium on housing in supply‑inelastic metros and the economic logic that land values track the highest‑bid use over time (Glaeser &amp; Gyourko, 2003; Saiz, 2010). Finally, significant patterns included widening segmentation: luxury/new‑construction assets faced more sensitivity to financing costs and absorption, while well‑located, mid‑market rentals and small multifamily properties showed steadier performance; this aligns with evidence that housing is both a consumption good and a collateralized asset, so shifts in credit conditions disproportionately affect price dynamics and turnover (Stein, 1995). Overall, the 2024 Boston metro thesis favored patient capital targeting basis‑reset deals, rental demand near employment and transit, and redevelopment pathways that add housing units—an approach supported by the academic consensus that in constrained, high‑amenity cities, scarcity and agglomeration forces are enduring drivers of real estate value (Glaeser et al., 2001; Glaeser &amp; Gyourko, 2003; Saiz, 2010; Stein, 1995).</w:t>
        <w:br/>
        <w:t>Peer‑reviewed sources (citations):</w:t>
        <w:br/>
        <w:t>Glaeser, E. L., Kolko, J., &amp; Saiz, A. (2001). Consumer city. Journal of Economic Geography, 1(1), 27–50.</w:t>
        <w:br/>
        <w:t>Glaeser, E. L., &amp; Gyourko, J. (2003). The impact of building restrictions on housing affordability. Economic Policy Review, 9(2), 21–39.</w:t>
        <w:br/>
        <w:t>Saiz, A. (2010). The geographic determinants of housing supply. Quarterly Journal of Economics, 125(3), 1253–1296.</w:t>
        <w:br/>
        <w:t>Stein, J. C. (1995). Prices and trading volume in the housing market: A model with down-payment effects. Quarterly Journal of Economics, 110(2), 379–406.</w:t>
        <w:br/>
        <w:t>Gyourko, J., &amp; Molloy, R. (2015). Regulation and housing supply. Handbook of Regional and Urban Economics, 5B, 1289–1337.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