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Evaluation</w:t>
        <w:br/>
        <w:t>Overall Assessment: Milestone 3 (3.0/4.0)</w:t>
        <w:br/>
        <w:br/>
        <w:t>Criterion-by-Criterion Breakdown:</w:t>
        <w:br/>
        <w:t>1. Explanation of Issues: Milestone 2 (2/4)</w:t>
        <w:br/>
        <w:t>Rationale: The issue—Boston's 2024 metropolitan real estate investment landscape—is stated and key dimensions are identified (supply constraints, financing costs, demand resilience). However, the essay leaves important terms and boundaries underexplored:</w:t>
        <w:br/>
        <w:t>- "Basis risk" and "regulatory risk" are mentioned but not clearly defined for readers unfamiliar with real estate finance</w:t>
        <w:br/>
        <w:t>- The scope boundary (what counts as "metropolitan Boston" geographically) is assumed</w:t>
        <w:br/>
        <w:t>- The timeframe "2024" suggests a snapshot, but whether this is forward-looking analysis or retrospective assessment remains ambiguous</w:t>
        <w:br/>
        <w:t>- Background context about why 2024 specifically matters (e.g., post-pandemic trajectory, specific policy changes) is largely absent</w:t>
        <w:br/>
        <w:t>Improvement needed: Define technical terms explicitly and establish clearer temporal and geographic boundaries.</w:t>
        <w:br/>
        <w:br/>
        <w:t>2. Evidence: Milestone 3 (3/4)</w:t>
        <w:br/>
        <w:t>Rationale: The essay demonstrates strong engagement with peer-reviewed sources:</w:t>
        <w:br/>
        <w:t>- Multiple academic studies are cited and interpreted to support specific claims (e.g., Saiz 2010 on supply inelasticity, Stein 1995 on lock-in effects)</w:t>
        <w:br/>
        <w:t>- The author connects theoretical findings to practical market observations (e.g., linking agglomeration research to "eds-and-meds" employment)</w:t>
        <w:br/>
        <w:t>- Viewpoints are questioned implicitly (the author evaluates which academic insights apply to Boston's specific context)</w:t>
        <w:br/>
        <w:t>Why not Capstone 4: The analysis stops short of comprehensive synthesis. The essay applies existing frameworks but doesn't critically evaluate limitations (e.g., Do these models account for remote work trends? How might 2024's specific macroeconomic conditions challenge historical patterns?). Expert viewpoints are used supportively rather than interrogated thoroughly.</w:t>
        <w:br/>
        <w:br/>
        <w:t>3. Influence of Context and Assumptions: Milestone 3 (3/4)</w:t>
        <w:br/>
        <w:t>Rationale: The essay identifies several important contextual factors:</w:t>
        <w:br/>
        <w:t>- Regulatory environment ("zoning, permitting, rent policy uncertainty")</w:t>
        <w:br/>
        <w:t>- Market context ("elevated financing costs," "lock-in dynamic")</w:t>
        <w:br/>
        <w:t>- Geographic context ("constrained coastal metros," "transit-served inner suburbs")</w:t>
        <w:br/>
        <w:t>The author also surfaces assumptions—e.g., that "eds-and-meds" demand is durable, that historical supply constraints will persist—though these are presented more as givens than as tested hypotheses.</w:t>
        <w:br/>
        <w:t>Why not Capstone 4: The essay doesn't systematically evaluate its own assumptions. For example:</w:t>
        <w:br/>
        <w:t>- Assumes 2024 conditions are stable enough for medium-term investment (what if rates drop sharply?)</w:t>
        <w:br/>
        <w:t>- Assumes regulatory environment remains constant (no analysis of political will for zoning reform)</w:t>
        <w:br/>
        <w:t>- Doesn't acknowledge the author's own positionality (investor perspective vs. policy perspective vs. equity perspective)</w:t>
        <w:br/>
        <w:br/>
        <w:t>4. Student's Position: Milestone 3 (3/4)</w:t>
        <w:br/>
        <w:t>Rationale: The thesis is clear and sophisticated: Boston 2024 favors patient capital in basis-reset deals, rental properties near employment/transit, and residential conversions, due to structural scarcity and agglomeration effects.</w:t>
        <w:br/>
        <w:t>Strengths:</w:t>
        <w:br/>
        <w:t>- Takes into account complexities (segmentation by asset class, lock-in effects, basis vs. demand risk)</w:t>
        <w:br/>
        <w:t>- Acknowledges different investment opportunities (multifamily, conversions, workforce housing)</w:t>
        <w:br/>
        <w:t>- Synthesizes academic perspectives with market observation</w:t>
        <w:br/>
        <w:t xml:space="preserve">Why not Capstone 4: </w:t>
        <w:br/>
        <w:t>- Limits of the position are not explicitly acknowledged (e.g., "This thesis assumes X, but may not hold if Y occurs")</w:t>
        <w:br/>
        <w:t>- Counterarguments are absent (What would a bear case look like? What about gentrification/displacement concerns from an equity lens?)</w:t>
        <w:br/>
        <w:t>- The position is investor-centric without acknowledging other stakeholder perspectives (renters, policymakers, community groups)</w:t>
        <w:br/>
        <w:br/>
        <w:t>5. Conclusions and Related Outcomes: Milestone 3 (3/4)</w:t>
        <w:br/>
        <w:t>Rationale: The conclusion is logical and tied to the evidence presented:</w:t>
        <w:br/>
        <w:t>- Investment thesis (patient capital, basis-reset, rental focus) follows from the analysis of supply constraints and financing conditions</w:t>
        <w:br/>
        <w:t>- Related outcomes are implied: investors should avoid overpaying, focus on operational upside, target stable demand segments</w:t>
        <w:br/>
        <w:t>Why not Capstone 4:</w:t>
        <w:br/>
        <w:t>- Outcomes are not placed in clear priority order (Which is most important: basis discipline? Transit proximity? Conversion opportunities?)</w:t>
        <w:br/>
        <w:t>- Implications are underdeveloped: What are the consequences for housing affordability? For neighborhood change? For portfolio risk management?</w:t>
        <w:br/>
        <w:t>- The conclusion doesn't fully integrate opposing viewpoints (e.g., arguments that office conversions are economically unviable in most cases, or that supply constraints may ease with policy reform)</w:t>
        <w:br/>
        <w:br/>
        <w:t>Summary Score: 3.0/4.0 (Milestone 3)</w:t>
        <w:br/>
        <w:t>| Criterion | Score |</w:t>
        <w:br/>
        <w:t>|-----------|-------|</w:t>
        <w:br/>
        <w:t>| Explanation of Issues | 2 |</w:t>
        <w:br/>
        <w:t>| Evidence | 3 |</w:t>
        <w:br/>
        <w:t>| Context &amp; Assumptions | 3 |</w:t>
        <w:br/>
        <w:t>| Position | 3 |</w:t>
        <w:br/>
        <w:t>| Conclusions | 3 |</w:t>
        <w:br/>
        <w:t>| Average | 2.8 → 3.0 |</w:t>
        <w:br/>
        <w:br/>
        <w:t>Qualitative Summary:</w:t>
        <w:br/>
        <w:t xml:space="preserve">This is strong Milestone-level work that demonstrates solid critical thinking and effective use of academic evidence. The essay shows clear command of real estate economics literature and applies theory thoughtfully to a specific market case. </w:t>
        <w:br/>
        <w:t>To reach Capstone (4):</w:t>
        <w:br/>
        <w:t>1. Interrogate your sources more deeply – Don't just apply findings; question their limits in the 2024 Boston context</w:t>
        <w:br/>
        <w:t>2. Make your assumptions explicit and test them – What would change your thesis?</w:t>
        <w:br/>
        <w:t>3. Acknowledge counterarguments and position limits – What's the bear case? What perspectives are you not considering?</w:t>
        <w:br/>
        <w:t>4. Develop implications more fully – Prioritize recommendations and explore consequences beyond investor returns</w:t>
        <w:br/>
        <w:t>Strengths to maintain:</w:t>
        <w:br/>
        <w:t>- Excellent integration of peer-reviewed research</w:t>
        <w:br/>
        <w:t>- Sophisticated understanding of market dynamics</w:t>
        <w:br/>
        <w:t>- Clear, professional writing with appropriate technical vocabulary</w:t>
        <w:br/>
        <w:t>Grade: B+/A- range (approximately 3.0-3.2 on this rubric)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