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Critical Thinking Rubric Grading</w:t>
        <w:br/>
        <w:t>Overall Score: 20/20 (Capstone level across all categories)</w:t>
        <w:br/>
        <w:t>This analysis demonstrates exceptional critical thinking, characterized by comprehensive exploration of the Boston real estate market issue, rigorous use of evidence, contextual awareness, a nuanced position, and logical conclusions. It far exceeds benchmark expectations and aligns with capstone performance in a professional or advanced academic context. No zeros or lower scores apply, as all categories meet or surpass Milestone 3.</w:t>
        <w:br/>
        <w:t>1. Explanation of Issues: Capstone (4)</w:t>
        <w:br/>
        <w:t>"Issue/problem to be considered critically is stated clearly and described comprehensively, delivering all relevant information necessary for full understanding."</w:t>
        <w:br/>
        <w:t>Thesis opens with a precise statement of the core issue (supply constraints, financing costs, resilient "eds-and-meds" demand in 2024 Boston market) and comprehensively details drivers (e.g., underbuilding, lock-in dynamics, segmentation), risks (basis/regulatory), and opportunities (value-add multifamily, conversions). No omissions impede understanding; all key elements are contextualized with metro-specific traits.</w:t>
        <w:br/>
        <w:t>2. Evidence (Selecting and using information to investigate a point of view or conclusion): Capstone (4)</w:t>
        <w:br/>
        <w:t>"Information is taken from source(s) with enough interpretation/evaluation to develop a comprehensive analysis or synthesis. Viewpoints of experts are questioned thoroughly."</w:t>
        <w:br/>
        <w:t>Draws from 5 peer-reviewed sources (e.g., Glaeser &amp; Gyourko 2003 on supply inelasticity; Stein 1995 on lock-in/frictions; Glaeser et al. 2001 on agglomeration premia), interpreting them to synthesize a cohesive 2024 market thesis. Expert views are not taken at face value but evaluated/applied (e.g., linking Glaeser/Saiz to enduring scarcity forces amid high rates), building a comprehensive investor framework.</w:t>
        <w:br/>
        <w:t>3. Influence of Context and Assumptions: Capstone (4)</w:t>
        <w:br/>
        <w:t>"Thoroughly (systematically and methodically) analyzes own and others' assumptions and carefully evaluates the relevance of contexts when presenting a position."</w:t>
        <w:br/>
        <w:t>Systematically dissects assumptions (e.g., weak supply response in regulated metros per Glaeser/Gyourko; credit frictions amplifying cycles per Stein) and contexts (high-amenity coastal metros, transit/employment nodes, interest rate "lock-in"). Own position assumes enduring agglomeration but evaluates counter-risks (e.g., financing sensitivity, zoning uncertainty), methodically prioritizing relevant factors like inelasticity over demand collapse.</w:t>
        <w:br/>
        <w:t>4. Student's Position (perspective, thesis/hypothesis): Capstone (4)</w:t>
        <w:br/>
        <w:t>"Specific position (perspective, thesis/hypothesis) is imaginative, taking into account the complexities of an issue. Limits of position are acknowledged. Others' points of view are synthesized within position."</w:t>
        <w:br/>
        <w:t>Position is specific and imaginative: "patient capital targeting basis-reset deals, rental demand near employment/transit, redevelopment pathways." Acknowledges complexities/limits (e.g., basis/regulatory risks, luxury vs. mid-market segmentation) and synthesizes opposing views/expert insights (e.g., scarcity premia vs. illiquidity frictions) into a balanced investor strategy.</w:t>
        <w:br/>
        <w:t>5. Conclusions and Related Outcomes (implications and consequences): Capstone (4)</w:t>
        <w:br/>
        <w:t>"Conclusions and related outcomes are logical and reflect student's informed evaluation and ability to place evidence and perspectives discussed in priority order."</w:t>
        <w:br/>
        <w:t>Conclusion ("2024 Boston metro thesis favored patient capital... supported by academic consensus") logically prioritizes evidence (scarcity/agglomeration &gt; demand collapse), evaluates perspectives (e.g., Glaeser et al., Saiz), and identifies outcomes (e.g., opportunities in value-add/suburbs, conversions; risks in overpaying/new construction). Implications (enduring value drivers in constrained cities) are insightful and unsimplistic.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