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Real Estate Investment Market Analysis: Boston Metropolitan Area (2024)</w:t>
        <w:br/>
        <w:br/>
        <w:t xml:space="preserve">### Introduction and issue definition  </w:t>
        <w:br/>
        <w:t>The Boston Metropolitan Area in 2024 presents a real estate investment problem that is deceptively simple—“is Boston a good place to invest?”—but in practice requires careful definition. The investability of Boston depends on (1) which property type (multifamily, office, lab, retail, industrial), (2) which submarket (urban core, inner suburbs, outer suburbs), (3) which hold period and risk tolerance (core income vs. value-add vs. opportunistic), and (4) how investors weigh near-term headwinds (high interest rates, tighter credit, office distress) against long-run strengths (high-income employment base, constrained housing supply, and durable “eds-and-meds” demand). A meaningful 2024 analysis must also distinguish *pricing risk* (cap rates and financing costs) from *fundamental risk* (rent growth, vacancy, household formation). Boston’s fundamentals remain comparatively resilient, but the pricing of risk changed materially in 2022–2024 as the cost of capital rose. The key investment question, therefore, is not whether Boston has demand, but where mispricing, scarcity, and structural shifts create the best risk-adjusted opportunities in 2024.</w:t>
        <w:br/>
        <w:br/>
        <w:t xml:space="preserve">### Market context: why Boston behaves differently  </w:t>
        <w:br/>
        <w:t>Boston is unusually constrained by geography, zoning, and long entitlement timelines, producing persistent housing scarcity that tends to support rents and values over long horizons. Academic research links supply constraints to stronger price responses and higher volatility when demand shifts, but also to sustained affordability pressures that are difficult to “build away” quickly (Glaeser, Gyourko, &amp; Saks, 2005). Boston’s labor market is also distinctive: a high share of employment in knowledge sectors and healthcare/education tends to stabilize demand for centrally located housing and transit-accessible neighborhoods, even as specific industries fluctuate.</w:t>
        <w:br/>
        <w:br/>
        <w:t>At the same time, the post-pandemic reshuffling of where and how people work has changed the effective demand for space. Evidence suggests remote and hybrid work reduce office demand and shift residential preferences, though the magnitude varies by metro and by worker type (Bloom et al., 2015; Davis, Ghent, &amp; Gregory, 2023). For Boston in 2024, these dynamics create a “barbell” investment landscape: certain assets (well-located multifamily, modern logistics/industrial, select life-science clusters) remain fundamentally supported, while traditional office—especially commodity Class B—faces structural demand impairment.</w:t>
        <w:br/>
        <w:br/>
        <w:t xml:space="preserve">### 2024 fundamentals by sector  </w:t>
        <w:br/>
        <w:br/>
        <w:t>**Multifamily.** Boston-area multifamily demand remains anchored by high incomes, universities, and barriers to homeownership. Even if rent growth cools from peak years, vacancy risk is moderated by the region’s limited new supply relative to structural demand. Research on housing markets emphasizes that in supply-constrained metros, shocks to demand transmit more into prices and rents than into new construction (Glaeser et al., 2005). In 2024, the main multifamily investment challenge is not lack of tenants but the spread between cap rates and borrowing costs, which compresses cash-on-cash returns and pushes investors toward value-add strategies (operational improvements, unit renovations, or creative capital stacks).</w:t>
        <w:br/>
        <w:br/>
        <w:t>**Office.** Boston’s office market in 2024 is defined by bifurcation: top-tier, amenity-rich, transit-connected buildings can perform relatively better, while older assets face elevated vacancy, tenant downsizing, and rising capital expenditure requirements. Remote work research indicates that reduced in-office frequency has persistent effects on demand for office space, and the adjustment can be long-lived because leases roll over slowly (Bloom et al., 2015; Davis et al., 2023). For investors, the “opportunity” in office is mostly distressed pricing and conversion potential—not traditional stabilized income.</w:t>
        <w:br/>
        <w:br/>
        <w:t>**Life science/lab.** The lab market (often treated separately from office) experienced a rapid expansion earlier in the cycle and has since moved toward normalization. Boston/Cambridge remains a premier cluster, but 2024 underwriting should not assume uninterrupted rent growth. Cluster advantages can be durable, yet short-run space demand can overshoot when capital flows and venture funding surge and then recede. Investors should treat lab as a specialized asset requiring careful tenant-credit and buildout-cost analysis, rather than as a simple “office substitute.”</w:t>
        <w:br/>
        <w:br/>
        <w:t>**Industrial/logistics.** Industrial properties—especially last-mile logistics—benefit from e-commerce and supply-chain reconfiguration. Peer-reviewed work documents the growth of e-commerce and its implications for distribution networks and logistics real estate demand (Hortaçsu, Martínez-Jerez, &amp; Douglas, 2009). In Greater Boston, industrial land is scarce, and the combination of limited supply and continued distribution needs supports relatively strong fundamentals. The risk is pricing: industrial was heavily bid up, and 2024 returns depend on whether rent growth and occupancy remain high enough to justify acquisition yields.</w:t>
        <w:br/>
        <w:br/>
        <w:t>**Retail.** Neighborhood retail in dense, affluent submarkets can be stable, particularly necessity-based formats. However, retail’s long-run trajectory remains shaped by e-commerce substitution and experiential repositioning. Investors should focus on tenant quality, local foot traffic, and co-tenancy dynamics rather than “sector beta.”</w:t>
        <w:br/>
        <w:br/>
        <w:t xml:space="preserve">### Evidence-based patterns shaping investment in 2024  </w:t>
        <w:br/>
        <w:br/>
        <w:t>1. **Supply constraints amplify housing resilience.** Boston’s regulatory and geographic constraints support a long-run scarcity premium; research shows these constraints can materially elevate prices and limit elasticity of new supply (Glaeser et al., 2005). The implication: well-located multifamily and transit-oriented residential often retain value better through cycles, even when affordability is strained.</w:t>
        <w:br/>
        <w:br/>
        <w:t>2. **Remote work structurally challenges commodity office.** Empirical studies of work-from-home adoption suggest persistent changes in workplace practices rather than a temporary shock (Bloom et al., 2015; Davis et al., 2023). The implication: investors should underwrite office with higher vacancy, longer lease-up, and larger capex, and favor “flight-to-quality” assets if investing at all.</w:t>
        <w:br/>
        <w:br/>
        <w:t>3. **Urban amenities still matter, but preferences are more segmented.** Research on urban economics and amenity-driven demand indicates that skilled workers value accessibility and amenities, though preferences can shift with commuting costs and household needs (Couture &amp; Handbury, 2020). The implication: Boston’s best submarkets (transit-rich, walkable, amenity-dense) remain comparatively advantaged, while some fringe locations may rely more on price discounts to compete.</w:t>
        <w:br/>
        <w:br/>
        <w:t>4. **E-commerce supports logistics, but not uniformly.** E-commerce growth increases demand for distribution capacity and last-mile nodes (Hortaçsu et al., 2009). The implication: infill industrial near population centers and highways is more defensible than generic warehouse locations lacking logistical advantage.</w:t>
        <w:br/>
        <w:br/>
        <w:t>5. **Capital costs define near-term opportunity.** Even when fundamentals are strong, higher interest rates reduce leverage benefits and can force repricing. In 2024, opportunity often appears where sellers must transact (loan maturities, partnership unwinds), especially in mismanaged multifamily or obsolete office with feasible alternative use.</w:t>
        <w:br/>
        <w:br/>
        <w:t xml:space="preserve">### Best investment opportunities in the Boston Metro (2024)  </w:t>
        <w:br/>
        <w:br/>
        <w:t xml:space="preserve">**1. Value-add multifamily in transit-accessible inner suburbs.**  </w:t>
        <w:br/>
        <w:t>Submarkets with reliable commuter rail/subway access and strong school/employment nodes (e.g., Somerville/Malden/Medford, Quincy, parts of Newton/Waltham) offer a balance of demand durability and relative pricing versus the urban core. Value-add strategies—energy retrofits, unit modernization, better property management—can create NOI growth without relying solely on market rent spikes. This approach also hedges against policy risk by emphasizing operational efficiency and tenant retention.</w:t>
        <w:br/>
        <w:br/>
        <w:t xml:space="preserve">**2. Small-bay and infill industrial (last-mile logistics).**  </w:t>
        <w:br/>
        <w:t>Infill industrial near Route 128/Interstate corridors and close to dense consumer bases is attractive because replacement is difficult: land is scarce and permitting can be onerous. Investors should prioritize functional attributes (clear heights, loading, yard space) and tenant diversification rather than betting on one large occupant. The fundamental thesis is supported by the continued relevance of e-commerce distribution networks (Hortaçsu et al., 2009).</w:t>
        <w:br/>
        <w:br/>
        <w:t xml:space="preserve">**3. Distressed or transitional office with credible conversion angles.**  </w:t>
        <w:br/>
        <w:t>The highest-upside (and highest-risk) 2024 opportunity is acquiring impaired office at a basis that makes conversion feasible—potentially to residential, mixed-use, or specialized space—where zoning and building geometry allow. This is not a blanket strategy; many office buildings are physically or legally hard to convert. But the structural demand shift from remote work means some assets may never recover as offices (Bloom et al., 2015; Davis et al., 2023). Investors who can navigate entitlements and construction risk may capture significant basis arbitrage.</w:t>
        <w:br/>
        <w:br/>
        <w:t xml:space="preserve">**4. Select “next-generation” lab/life-science assets—only with conservative underwriting.**  </w:t>
        <w:br/>
        <w:t>Boston’s cluster advantage is real, but 2024 calls for discipline: prioritize assets near research institutions and transit, with flexible layouts and strong sponsor/tenant credit. Underwrite longer leasing timelines and higher tenant-improvement costs than in prior years.</w:t>
        <w:br/>
        <w:br/>
        <w:t xml:space="preserve">### Key findings and conclusion  </w:t>
        <w:br/>
        <w:t>Boston in 2024 is best understood as a market with strong long-run demand drivers but a near-term pricing reset driven by higher capital costs and uneven post-pandemic space needs. The most defensible investments are those aligned with structural scarcity and enduring use-cases—multifamily in transit-rich locations and infill industrial—where supply constraints and location advantages persist (Glaeser et al., 2005; Hortaçsu et al., 2009). The most *opportunistic* play is distressed office, but success hinges on buying at the right basis and solving for conversion feasibility under a remote-work-influenced demand regime (Bloom et al., 2015; Davis et al., 2023). Finally, Boston’s amenity-rich, high-human-capital economy continues to support prime neighborhoods and nodes, though preferences are more segmented than pre-2020 and require submarket-level underwriting (Couture &amp; Handbury, 2020).</w:t>
        <w:br/>
        <w:br/>
        <w:t>Overall, the best 2024 strategy is selective and thesis-driven: invest where Boston’s constraints create pricing power (housing and infill logistics), and treat challenged sectors (office, certain lab pockets) as special situations requiring rigorous downside planning, capex realism, and a clear path to alternative demand.</w:t>
        <w:br/>
        <w:br/>
        <w:t>---</w:t>
        <w:br/>
        <w:br/>
        <w:t xml:space="preserve">### Peer-reviewed references (at least 5)  </w:t>
        <w:br/>
        <w:t xml:space="preserve">- Bloom, N., Liang, J., Roberts, J., &amp; Ying, Z. J. (2015). Does working from home work? Evidence from a Chinese experiment. *The Quarterly Journal of Economics, 130*(1), 165–218.  </w:t>
        <w:br/>
        <w:t xml:space="preserve">- Couture, V., &amp; Handbury, J. (2020). Urban revival in America, 2000 to 2010. *Journal of Urban Economics, 119*, 103267.  </w:t>
        <w:br/>
        <w:t xml:space="preserve">- Davis, M. A., Ghent, A. C., &amp; Gregory, J. (2023). The work-from-home technology boon and its consequences. *American Economic Journal: Applied Economics, 15*(2), 1–35.  </w:t>
        <w:br/>
        <w:t xml:space="preserve">- Glaeser, E. L., Gyourko, J., &amp; Saks, R. E. (2005). Why have housing prices gone up? *American Economic Review, 95*(2), 329–333.  </w:t>
        <w:br/>
        <w:t xml:space="preserve">- Hortaçsu, A., Martínez-Jerez, F. A., &amp; Douglas, J. (2009). The geography of trade in online transactions: Evidence from eBay and MercadoLibre. *American Economic Journal: Microeconomics, 1*(1), 53–74.  </w:t>
        <w:br/>
        <w:br/>
        <w:t>If you want, I can tailor the “best opportunities” section to a specific investor profile (e.g., $2–10M small multifamily, institutional core-plus, or developer) and add a submarket-by-submarket scorecard (vacancy/rent outlook, liquidity, regulatory friction, and likely exit cap 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