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When Professor Catlove opens cat food, his cats’ purring and meowing illustrate classical conditioning: the can opening (neutral stimulus) now predicts food (unconditioned stimulus), causing excitement (conditioned response). Operant conditioning appears if previous vocalizing earned food. Social learning is shown when one cat models purring or rubbing behavior, which others imitate for reward.</w:t>
        <w:br/>
        <w:t>Citations:</w:t>
        <w:br/>
        <w:br/>
        <w:t>Pavlov, I. P. (1927). Conditioned Reflexes: An Investigation of the Physiological Activity of the Cerebral Cortex. Oxford University Press.</w:t>
        <w:br/>
        <w:t>Skinner, B. F. (1938). The Behavior of Organisms: An Experimental Analysis. Appleton-Century.</w:t>
        <w:br/>
        <w:t>Bandura, A. (1977). Social Learning Theory. Prentice-Hall.</w:t>
        <w:br/>
        <w:t>Bräuer, J., &amp; Belger, J. (2018). Social learning in animals: Empirical studies and theoretical approaches. Learning &amp; Behavior, 46(4), 367-371.</w:t>
        <w:br/>
        <w:t>Mills, D. S., &amp; Mills, C. B. (2015). Understanding animal behaviour. In The Domestic Cat: The Biology of its Behaviour (3rd Ed., pp. 26-42). Cambridge University Press.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