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Professor Catlove opens cat food, classical conditioning is clear: the can’s sound (neutral stimulus) predicts food (unconditioned stimulus), so cats excitedly respond (conditioned response). Operant conditioning may reinforce cats’ meowing if it elicits faster feeding. Social learning occurs as cats observe each other’s anticipation, amplifying behaviors in both cats and professor.</w:t>
        <w:br/>
        <w:t>References:</w:t>
        <w:br/>
        <w:t>Domjan, M. (2015). Principles of Learning and Behavior. Cengage Learning.</w:t>
        <w:br/>
        <w:t>McSweeney, F. K., &amp; Murphy, E. S. (2014). The Wiley Blackwell Handbook of Operant and Classical Conditioning. Wiley-Blackwell.</w:t>
        <w:br/>
        <w:t>Bandura, A. (1977). Social Learning Theory. Prentice Hall.</w:t>
        <w:br/>
        <w:t>Chance, P. (2013). Learning and Behavior: Active Learning Edition. Cengage Learning.</w:t>
        <w:br/>
        <w:t>Pearce, J. M., &amp; Bouton, M. E. (2001). Theories of associative learning in animals. Annual Review of Psychology, 52, 111-139.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