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F29697" wp14:paraId="5AA5D527" wp14:textId="17E207CF">
      <w:pPr>
        <w:pStyle w:val="Heading1"/>
        <w:keepNext w:val="1"/>
        <w:keepLines w:val="1"/>
        <w:spacing w:before="322" w:beforeAutospacing="off" w:after="322"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To What Extent Do the Economic Data Support the Hypothesis That Social Service Spending is Inversely Related to Economic Growth?</w:t>
      </w:r>
    </w:p>
    <w:p xmlns:wp14="http://schemas.microsoft.com/office/word/2010/wordml" w:rsidP="1FF29697" wp14:paraId="02E13D06" wp14:textId="5A62E3C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relationship between social welfare expenditure and economic growth represents one of the most contested debates in economic policy, with profound implications for how societies balance equity and efficiency. The hypothesis under examination—that "social service spending is inversely related to economic growth"—posits a fundamental tradeoff: higher welfare spending should systematically correlate with lower GDP growth rates due to tax distortions, reduced work incentives, and crowding out of productive private investment. This analysis critically examines whether OECD social welfare spending data (as percentage of GDP) and World Bank GDP annual growth rates from 2000-2019 support this hypothesis.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Central assumption being tested:</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the relationship between these variables is causal, negative, and consistent across contexts. After systematic analysis, the evidence decisively contradicts the inverse hypothesis, revealing instead that institutional design, composition of spending, and contextual factors matter far more than aggregate spending levels.</w:t>
      </w:r>
    </w:p>
    <w:p xmlns:wp14="http://schemas.microsoft.com/office/word/2010/wordml" w:rsidP="1FF29697" wp14:paraId="03B1AF18" wp14:textId="11F5E5B3">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Empirical Evidence: What the Data Reveal and Conceal</w:t>
      </w:r>
    </w:p>
    <w:p xmlns:wp14="http://schemas.microsoft.com/office/word/2010/wordml" w:rsidP="1FF29697" wp14:paraId="1868C3D5" wp14:textId="40D69BA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provided dataset offers social welfare spending as a percentage of GDP alongside annual GDP growth rates for France, Belgium, Finland, and Italy across five time periods (2000, 2005, 2010, 2016, 2019).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Most critically, the data show no consistent inverse pattern.</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France presents the starkest contradiction: its highest growth rate (4.14% in 2000) occurred at 27.5% welfare spending, while its lowest growth (0.86% in 2016) coincided with higher spending at 31.5%. However—and this is crucial—this </w:t>
      </w:r>
      <w:r w:rsidRPr="1FF29697" w:rsidR="7E4C0CF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apparent</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correlation reverses in other periods. In 2019, France maintained 31.2% spending with respectable 2.02% growth, higher than the 2016 rate despite similar spending levels.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This inconsistency within a single country across time is the first critical evidence against a simple inverse relationship.</w:t>
      </w:r>
    </w:p>
    <w:p xmlns:wp14="http://schemas.microsoft.com/office/word/2010/wordml" w:rsidP="1FF29697" wp14:paraId="6CEEB427" wp14:textId="3394DC4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Belgium's trajectory reinforces this finding. Welfare spending rose from 23.5% (2000) to 28.9% (2019)—a 5.4 percentage point increase representing 23% growth in welfare state size. Yet GDP growth in 2019 (2.44%) remained robust and exceeded 2016 levels (1.19%), despite continuously high spending. Finland provides perhaps the most compelling evidence: achieving 5.75% growth at 22.6% spending (2000), yet maintaining positive growth even as spending peaked at 30.8% (2016). Italy shows similar patterns of independence between the two variables.</w:t>
      </w:r>
    </w:p>
    <w:p xmlns:wp14="http://schemas.microsoft.com/office/word/2010/wordml" w:rsidP="1FF29697" wp14:paraId="07F76C3D" wp14:textId="7147459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However, three critical limitations demand acknowledgment before drawing conclusions.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First, this dataset represents only snapshots rather than continuous annual observations, potentially obscuring business cycle dynamics and short-term relationships. Second, and most importantly,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these are simple bivariate correlations that ignore dozens of confounding variables: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monetary policy conditions, labor market regulations, technological change, global demand shocks, demographic transitions, and fiscal policy beyond social spending. The 2008-2010 period, for instance, captures the global financial crisis—growth rates in this period reflect global contagion effects far more than welfare spending levels. Third,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reverse causation presents a fundamental identification problem:</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 high spending levels cause low growth, or do economic downturns automatically trigger higher spending through unemployment insurance and counter-cyclical programs? The data alone cannot distinguish causality from correlation or spurious association.</w:t>
      </w:r>
    </w:p>
    <w:p xmlns:wp14="http://schemas.microsoft.com/office/word/2010/wordml" w:rsidP="1FF29697" wp14:paraId="082EDAA6" wp14:textId="46674CF9">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Challenging Expert Consensus: Where the Literature Succeeds and Falls Short</w:t>
      </w:r>
    </w:p>
    <w:p xmlns:wp14="http://schemas.microsoft.com/office/word/2010/wordml" w:rsidP="1FF29697" wp14:paraId="7AA29067" wp14:textId="3E274E3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contemporary empirical literature largely contradicts traditional neoclassical predictions, but critical examination reveals both strengths and limitations in this revisionist view. Peter Lindert's </w:t>
      </w:r>
      <w:r w:rsidRPr="1FF29697" w:rsidR="7E4C0CF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Growing Public</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concluded that "the net national costs of government social programs are virtually zero," finding no systematic growth penalties across two centuries of welfare state development (Lindert, 2004).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But we must question this conclusion's scope:</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Lindert's historical sample focuses primarily on economically successful OECD nations—survivorship bias may exclude failed welfare states or countries that reformed away from high spending precisely because of growth problems. Additionally, Lindert's "free lunch" may reflect a specific historical period (1960-2000) of unique conditions—globalization, technological change, and demographic structures—that may not persist.</w:t>
      </w:r>
    </w:p>
    <w:p xmlns:wp14="http://schemas.microsoft.com/office/word/2010/wordml" w:rsidP="1FF29697" wp14:paraId="7E99F30A" wp14:textId="60E25B1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Furceri and Zdzienicka (2012) provide seemingly strong evidence that social spending has expansionary effects, estimating a multiplier of 0.6 for OECD countries.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Yet their methodology warrants scrutiny.</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They construct "exogenous" spending shocks by using residuals from fiscal reaction functions—but if their control variables incompletely capture all factors influencing spending decisions, these residuals remain contaminated by endogeneity. Their finding that effects are "larger during severe downturns" actually suggests the relationship is non-linear and context-dependent rather than consistently positive. Moreover, a 0.6 multiplier, while positive, still implies that social spending is less growth-enhancing than alternative uses of resources with multipliers exceeding 1.0.</w:t>
      </w:r>
    </w:p>
    <w:p xmlns:wp14="http://schemas.microsoft.com/office/word/2010/wordml" w:rsidP="1FF29697" wp14:paraId="26E5D8B0" wp14:textId="531EEE6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Kim and Ahn (2020) demonstrate that education and health spending show stronger growth correlations than transfer payments—</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this finding is crucial because it suggests composition matters more than aggregate levels.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However, their analysis faces the classic human capital measurement problem: educational spending today affects growth 10-20 years later through cohort effects, yet their panel regressions use contemporary correlations.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most compelling insight comes from cross-study comparison:</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virtually all recent empirical work finds either neutral or positive relationships, with effect sizes varying by institutional context, spending composition, and economic conditions.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Prioritizing this evidence by quality:</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Furceri and Zdzienicka's panel approach with instrumental variables ranks highest for causal identification; Lindert's historical scope provides longest time frame but weakest controls; Kim and Ahn offer valuable composition insights but face timing challenges.</w:t>
      </w:r>
    </w:p>
    <w:p xmlns:wp14="http://schemas.microsoft.com/office/word/2010/wordml" w:rsidP="1FF29697" wp14:paraId="2BBA9319" wp14:textId="65AFAD01">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Mechanisms and Context: Why Some Welfare States Avoid Growth Penalties</w:t>
      </w:r>
    </w:p>
    <w:p xmlns:wp14="http://schemas.microsoft.com/office/word/2010/wordml" w:rsidP="1FF29697" wp14:paraId="16DA999D" wp14:textId="0FDEDC1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Three mechanisms explain the absence of predicted negative effects, ranked by empirical support.</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First and most important: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human capital formation through health and education spending.</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represents productive investment rather than pure redistribution. Countries treating social spending as investment—particularly Nordic nations combining high spending with strong educational systems—show this channel operating most clearly. The evidence here is strongest because human capital's growth contribution is well-established across development economics.</w:t>
      </w:r>
    </w:p>
    <w:p xmlns:wp14="http://schemas.microsoft.com/office/word/2010/wordml" w:rsidP="1FF29697" wp14:paraId="641EEC97" wp14:textId="2510319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Second: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efficient tax design in high-spending states.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Lindert's "budget stakes principle" suggests countries with larger welfare states face stronger incentives to minimize distortions—but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 should question whether this represents selection effects rather than causal adaptation.</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Perhaps only countries with initially efficient tax systems can sustain large welfare states, rather than large welfare states causing efficiency improvements. The Scandinavian reliance on broad-based VAT taxes rather than narrow taxes supports this mechanism, yet distinguishing causation from selection remains difficult.</w:t>
      </w:r>
    </w:p>
    <w:p xmlns:wp14="http://schemas.microsoft.com/office/word/2010/wordml" w:rsidP="1FF29697" wp14:paraId="4A9CD8E4" wp14:textId="6F186F0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Third: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macroeconomic stabilization through automatic stabilizers.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Furceri and Zdzienicka found larger effects during downturns, suggesting social spending dampens cyclical volatility. However, this stabilization benefit must be weighed against potential long-term costs—preventing necessary structural adjustments or maintaining employment in declining sectors.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This mechanism has the weakest empirical support because identifying counterfactual volatility without welfare spending requires untestable assumptions.</w:t>
      </w:r>
    </w:p>
    <w:p xmlns:wp14="http://schemas.microsoft.com/office/word/2010/wordml" w:rsidP="1FF29697" wp14:paraId="7401823B" wp14:textId="0B58522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Contextual factors fundamentally shape these relationships.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Institutional quality matters enormously—the same 30% spending-to-GDP ratio produces different outcomes in Denmark (high institutional quality, efficient administration) versus Italy (lower institutional efficiency, higher corruption). Labor market flexibility interacts with social insurance: Denmark's "flexicurity" model combines high spending with flexible hiring/firing, while rigid labor markets may prevent welfare spending from supporting productive reallocation. Demographic structure creates divergent pressures: aging societies face rising pension and healthcare costs independent of policy choices, while younger populations channel spending toward education with clearer growth benefits.</w:t>
      </w:r>
    </w:p>
    <w:p xmlns:wp14="http://schemas.microsoft.com/office/word/2010/wordml" w:rsidP="1FF29697" wp14:paraId="6091EAD5" wp14:textId="26CC0233">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Confronting Assumptions and Alternative Interpretations</w:t>
      </w:r>
    </w:p>
    <w:p xmlns:wp14="http://schemas.microsoft.com/office/word/2010/wordml" w:rsidP="1FF29697" wp14:paraId="2EC7770F" wp14:textId="050DF73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This analysis rests on several assumptions that deserve explicit examination.</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Most fundamentally: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GDP growth is assumed to be the appropriate welfare metric.</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Yet if social spending enhances wellbeing through reduced inequality, improved health, or greater economic security, societies might rationally accept lower measured GDP growth for higher overall welfare. The inverse hypothesis implicitly assumes growth maximization should dominate other objectives—an assumption worth questioning.</w:t>
      </w:r>
    </w:p>
    <w:p xmlns:wp14="http://schemas.microsoft.com/office/word/2010/wordml" w:rsidP="1FF29697" wp14:paraId="7DF3934C" wp14:textId="6A27128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Measurement assumptions also matter critically.</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OECD social spending data aggregate diverse programs—old-age pensions, unemployment insurance, healthcare, family benefits—that likely have heterogeneous growth effects. This aggregation obscures whether specific program types drive any observed relationships. Additionally, "social spending" excludes tax expenditures (credits, deductions) that many countries use for similar purposes, potentially biasing international comparisons.</w:t>
      </w:r>
    </w:p>
    <w:p xmlns:wp14="http://schemas.microsoft.com/office/word/2010/wordml" w:rsidP="1FF29697" wp14:paraId="34163029" wp14:textId="2E8616D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timing assumption presents another challenge.</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Annual correlations assume immediate effects, yet social investments in education or healthcare affect growth over decades. This temporal mismatch might obscure positive long-run relationships even if short-run correlations appear neutral.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Alternative interpretation:</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Perhaps the absence of correlation reflects offsetting mechanisms—negative incentive effects balanced by positive human capital effects—producing net neutrality rather than genuine independence.</w:t>
      </w:r>
    </w:p>
    <w:p xmlns:wp14="http://schemas.microsoft.com/office/word/2010/wordml" w:rsidP="1FF29697" wp14:paraId="398B33C9" wp14:textId="06560AA3">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Conclusions: Prioritizing Evidence and Policy Implications</w:t>
      </w:r>
    </w:p>
    <w:p xmlns:wp14="http://schemas.microsoft.com/office/word/2010/wordml" w:rsidP="1FF29697" wp14:paraId="61B8D25E" wp14:textId="7310196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evidence unambiguously fails to support the hypothesis that social service spending is inversely related to economic growth.</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Ranking evidence by quality and relevance: (1) The cross-country panel data showing neutral or positive relationships carries greatest weight due to sample size and controls for confounds; (2) Historical evidence from Lindert provides valuable long-term perspective but faces survivorship bias; (3) The provided 2000-2019 snapshot data, while illustrative, cannot establish causation given limited controls and observations.</w:t>
      </w:r>
    </w:p>
    <w:p xmlns:wp14="http://schemas.microsoft.com/office/word/2010/wordml" w:rsidP="1FF29697" wp14:paraId="3750D405" wp14:textId="3947F20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Three conclusions emerge in priority order.</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First and most important: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composition and design matter far more than aggregate spending levels.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spending targeting human capital (education, healthcare) shows consistent positive associations, while pure transfers show weaker relationships. Policy implication: focus should shift from spending levels to spending quality and targeting.</w:t>
      </w:r>
    </w:p>
    <w:p xmlns:wp14="http://schemas.microsoft.com/office/word/2010/wordml" w:rsidP="1FF29697" wp14:paraId="1D9E5B91" wp14:textId="7C835E9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Second: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institutional context fundamentally shapes outcomes.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same spending level produces different results across institutional environments. High-quality institutions can sustain larger welfare states without growth penalties; weaker institutions may face tradeoffs even at moderate spending. Policy implication: institutional reforms may need to precede or accompany spending increases.</w:t>
      </w:r>
    </w:p>
    <w:p xmlns:wp14="http://schemas.microsoft.com/office/word/2010/wordml" w:rsidP="1FF29697" wp14:paraId="0044BEF1" wp14:textId="1F91694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Third: </w:t>
      </w: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relationship is non-linear and context-dependent rather than universally positive or negative.</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Effects vary by economic conditions (larger benefits during downturns), demographic structure, and existing spending levels. Policy implication: optimal spending levels likely differ across countries and over time rather than adhering to universal rules.</w:t>
      </w:r>
    </w:p>
    <w:p xmlns:wp14="http://schemas.microsoft.com/office/word/2010/wordml" w:rsidP="1FF29697" wp14:paraId="6A05134E" wp14:textId="1FC238D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practical implications are significant.</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Policymakers need not assume that social protection necessarily conflicts with growth objectives. However, this does not constitute a "free lunch"—design matters critically. Efficient taxation, programs encouraging labor force participation, human capital investments, and high-quality administration appear essential for maintaining growth alongside substantial social spending. The challenge lies not in choosing between equity and efficiency but in designing institutions that serve both objectives simultaneously.</w:t>
      </w:r>
    </w:p>
    <w:p xmlns:wp14="http://schemas.microsoft.com/office/word/2010/wordml" w:rsidP="1FF29697" wp14:paraId="39C2397E" wp14:textId="1C5A639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Final assessment:</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inverse hypothesis reflects outdated theoretical assumptions contradicted by modern evidence. Yet uncritical acceptance of the revisionist "no tradeoff" view also oversimplifies. The truth lies in nuanced understanding: welfare states and economic dynamism can coexist, but only under specific institutional and policy conditions that many societies struggle to achieve.</w:t>
      </w:r>
    </w:p>
    <w:p xmlns:wp14="http://schemas.microsoft.com/office/word/2010/wordml" w:rsidP="1FF29697" wp14:paraId="2A8633A6" wp14:textId="42F1E169">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1FF29697" wp14:paraId="53AD9C85" wp14:textId="12C20691">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1FF29697" w:rsidR="7E4C0CF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References</w:t>
      </w:r>
    </w:p>
    <w:p xmlns:wp14="http://schemas.microsoft.com/office/word/2010/wordml" w:rsidP="1FF29697" wp14:paraId="19C79873" wp14:textId="6A38521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Furceri, D., &amp; Zdzienicka, A. (2012). The effects of social spending on economic activity: Empirical evidence from a panel of OECD countries. </w:t>
      </w:r>
      <w:r w:rsidRPr="1FF29697" w:rsidR="7E4C0CF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Fiscal Studies</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33(1), 129-152.</w:t>
      </w:r>
    </w:p>
    <w:p xmlns:wp14="http://schemas.microsoft.com/office/word/2010/wordml" w:rsidP="1FF29697" wp14:paraId="1D8CC575" wp14:textId="5D9AD75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Haile, F., &amp; Niño-Zarazúa, M. (2018). Does social spending improve welfare in low-income and middle-income countries? </w:t>
      </w:r>
      <w:r w:rsidRPr="1FF29697" w:rsidR="7E4C0CF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Journal of International Development</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30(3), 367-398.</w:t>
      </w:r>
    </w:p>
    <w:p xmlns:wp14="http://schemas.microsoft.com/office/word/2010/wordml" w:rsidP="1FF29697" wp14:paraId="28F2C075" wp14:textId="697AD72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Kim, S. W., &amp; Ahn, S. H. (2020). Social investment effects of public education, health care, and welfare service expenditures on economic growth. </w:t>
      </w:r>
      <w:r w:rsidRPr="1FF29697" w:rsidR="7E4C0CF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Asian Social Work and Policy Review</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14(1), 34-44.</w:t>
      </w:r>
    </w:p>
    <w:p xmlns:wp14="http://schemas.microsoft.com/office/word/2010/wordml" w:rsidP="1FF29697" wp14:paraId="51207F13" wp14:textId="5009E16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Lindert, P. H. (2004). </w:t>
      </w:r>
      <w:r w:rsidRPr="1FF29697" w:rsidR="7E4C0CF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Growing Public: Social Spending and Economic Growth since the Eighteenth Century</w:t>
      </w: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(Vols. 1-2). Cambridge University Press.</w:t>
      </w:r>
    </w:p>
    <w:p xmlns:wp14="http://schemas.microsoft.com/office/word/2010/wordml" w:rsidP="1FF29697" wp14:paraId="3D1F929E" wp14:textId="6A3B843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OECD (2023). Social Expenditure Database (SOCX). Retrieved from </w:t>
      </w:r>
      <w:hyperlink r:id="Rcb717512275440d7">
        <w:r w:rsidRPr="1FF29697" w:rsidR="7E4C0CF7">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https://www.oecd.org/social/expenditure.htm</w:t>
        </w:r>
      </w:hyperlink>
    </w:p>
    <w:p xmlns:wp14="http://schemas.microsoft.com/office/word/2010/wordml" w:rsidP="1FF29697" wp14:paraId="61A445E7" wp14:textId="0629CA4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FF29697" w:rsidR="7E4C0C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World Bank (2023). GDP Annual Growth. World Development Indicators. Retrieved from </w:t>
      </w:r>
      <w:hyperlink r:id="R5ba045cb778d4c93">
        <w:r w:rsidRPr="1FF29697" w:rsidR="7E4C0CF7">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https://data.worldbank.org/indicator/NY.GDP.MKTP.KD.ZG</w:t>
        </w:r>
      </w:hyperlink>
    </w:p>
    <w:p xmlns:wp14="http://schemas.microsoft.com/office/word/2010/wordml" wp14:paraId="2C078E63" wp14:textId="586987B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6065C9"/>
    <w:rsid w:val="1FF29697"/>
    <w:rsid w:val="3B6065C9"/>
    <w:rsid w:val="7E4C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65C9"/>
  <w15:chartTrackingRefBased/>
  <w15:docId w15:val="{5DC7B915-D0C5-465F-BCBF-7FD0FC20DE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FF2969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FF2969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FF2969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oecd.org/social/expenditure.htm" TargetMode="External" Id="Rcb717512275440d7" /><Relationship Type="http://schemas.openxmlformats.org/officeDocument/2006/relationships/hyperlink" Target="https://data.worldbank.org/indicator/NY.GDP.MKTP.KD.ZG" TargetMode="External" Id="R5ba045cb778d4c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2025-11-23T17:53:04.8699709Z</dcterms:created>
  <dcterms:modified xsi:type="dcterms:W3CDTF">2025-11-23T17:54:48.7233968Z</dcterms:modified>
  <dc:creator>HuuThanhVy Nguyen</dc:creator>
  <lastModifiedBy>HuuThanhVy Nguyen</lastModifiedBy>
</coreProperties>
</file>