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1073589" w:rsidP="033D46DE" w:rsidRDefault="41073589" w14:paraId="7051DE83" w14:textId="19E7A390">
      <w:pPr>
        <w:pStyle w:val="Heading3"/>
        <w:keepNext w:val="1"/>
        <w:keepLines w:val="1"/>
        <w:spacing w:before="281" w:beforeAutospacing="off" w:after="281"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033D46DE" w:rsidR="41073589">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Introduction</w:t>
      </w:r>
    </w:p>
    <w:p w:rsidR="41073589" w:rsidP="033D46DE" w:rsidRDefault="41073589" w14:paraId="434A210D" w14:textId="5633C655">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33D46DE" w:rsidR="410735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relationship between social service spending and economic growth remains one of the most contested questions in welfare economics. The hypothesis under consideration—“social service spending is inversely related to economic growth”—suggests that higher welfare expenditures reduce growth by diverting resources from investment and dampening incentives for productivity. Using OECD data on social welfare spending as a percentage of GDP and World Bank data on GDP annual growth for France, Belgium, Finland, and Italy across selected years, this essay critically evaluates whether the evidence supports or refutes the hypothesis. The analysis integrates peer-reviewed literature, interrogates assumptions underlying both the hypothesis and the data, and situates findings within broader economic contexts.</w:t>
      </w:r>
    </w:p>
    <w:p w:rsidR="033D46DE" w:rsidP="033D46DE" w:rsidRDefault="033D46DE" w14:paraId="10D00B91" w14:textId="6097E119">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41073589" w:rsidP="033D46DE" w:rsidRDefault="41073589" w14:paraId="72A392C5" w14:textId="02618294">
      <w:pPr>
        <w:pStyle w:val="Heading3"/>
        <w:keepNext w:val="1"/>
        <w:keepLines w:val="1"/>
        <w:spacing w:before="281" w:beforeAutospacing="off" w:after="281"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033D46DE" w:rsidR="41073589">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Theoretical Framework</w:t>
      </w:r>
    </w:p>
    <w:p w:rsidR="41073589" w:rsidP="033D46DE" w:rsidRDefault="41073589" w14:paraId="019ECF63" w14:textId="4E722B60">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33D46DE" w:rsidR="410735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Two competing perspectives dominate the debate:</w:t>
      </w:r>
    </w:p>
    <w:p w:rsidR="41073589" w:rsidP="033D46DE" w:rsidRDefault="41073589" w14:paraId="61CECFD2" w14:textId="25EF1961">
      <w:pPr>
        <w:pStyle w:val="ListParagraph"/>
        <w:numPr>
          <w:ilvl w:val="0"/>
          <w:numId w:val="1"/>
        </w:num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33D46DE" w:rsidR="41073589">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Crowding-out hypothesis</w:t>
      </w:r>
      <w:r w:rsidRPr="033D46DE" w:rsidR="410735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Welfare spending reduces incentives for labor participation and investment, thereby slowing growth. </w:t>
      </w:r>
    </w:p>
    <w:p w:rsidR="41073589" w:rsidP="033D46DE" w:rsidRDefault="41073589" w14:paraId="757BE6A0" w14:textId="29B7C6C0">
      <w:pPr>
        <w:pStyle w:val="ListParagraph"/>
        <w:numPr>
          <w:ilvl w:val="0"/>
          <w:numId w:val="1"/>
        </w:num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33D46DE" w:rsidR="41073589">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Social investment perspective</w:t>
      </w:r>
      <w:r w:rsidRPr="033D46DE" w:rsidR="410735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Welfare spending enhances human capital, stabilizes demand, and fosters inclusive growth.</w:t>
      </w:r>
    </w:p>
    <w:p w:rsidR="41073589" w:rsidP="033D46DE" w:rsidRDefault="41073589" w14:paraId="4F603795" w14:textId="389ACFFC">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33D46DE" w:rsidR="410735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Scholars emphasize that the relationship is not linear but contingent on institutional design, spending composition, and macroeconomic conditions. For example, Furceri and Zdzienicka (2012) show that social spending can have short-term expansionary effects, while Santos and Simões (2025) argue that welfare states enhance long-term standards of living when expenditures target education and health.</w:t>
      </w:r>
    </w:p>
    <w:p w:rsidR="033D46DE" w:rsidP="033D46DE" w:rsidRDefault="033D46DE" w14:paraId="2BCC8FE3" w14:textId="3D4EB5D8">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41073589" w:rsidP="033D46DE" w:rsidRDefault="41073589" w14:paraId="0920412A" w14:textId="5837E329">
      <w:pPr>
        <w:pStyle w:val="Heading3"/>
        <w:keepNext w:val="1"/>
        <w:keepLines w:val="1"/>
        <w:spacing w:before="281" w:beforeAutospacing="off" w:after="281"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033D46DE" w:rsidR="41073589">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Data Analysis</w:t>
      </w:r>
    </w:p>
    <w:p w:rsidR="41073589" w:rsidP="033D46DE" w:rsidRDefault="41073589" w14:paraId="72347786" w14:textId="74A74179">
      <w:pPr>
        <w:pStyle w:val="Heading4"/>
        <w:keepNext w:val="1"/>
        <w:keepLines w:val="1"/>
        <w:spacing w:before="319" w:beforeAutospacing="off" w:after="319" w:afterAutospacing="off"/>
        <w:rPr>
          <w:rFonts w:ascii="Times New Roman" w:hAnsi="Times New Roman" w:eastAsia="Times New Roman" w:cs="Times New Roman"/>
          <w:b w:val="0"/>
          <w:bCs w:val="0"/>
          <w:i w:val="1"/>
          <w:iCs w:val="1"/>
          <w:caps w:val="0"/>
          <w:smallCaps w:val="0"/>
          <w:noProof w:val="0"/>
          <w:color w:val="0F4761" w:themeColor="accent1" w:themeTint="FF" w:themeShade="BF"/>
          <w:sz w:val="22"/>
          <w:szCs w:val="22"/>
          <w:lang w:val="en-US"/>
        </w:rPr>
      </w:pPr>
      <w:r w:rsidRPr="033D46DE" w:rsidR="41073589">
        <w:rPr>
          <w:rFonts w:ascii="Times New Roman" w:hAnsi="Times New Roman" w:eastAsia="Times New Roman" w:cs="Times New Roman"/>
          <w:b w:val="1"/>
          <w:bCs w:val="1"/>
          <w:i w:val="1"/>
          <w:iCs w:val="1"/>
          <w:caps w:val="0"/>
          <w:smallCaps w:val="0"/>
          <w:noProof w:val="0"/>
          <w:color w:val="0F4761" w:themeColor="accent1" w:themeTint="FF" w:themeShade="BF"/>
          <w:sz w:val="22"/>
          <w:szCs w:val="22"/>
          <w:lang w:val="en-US"/>
        </w:rPr>
        <w:t>France</w:t>
      </w:r>
    </w:p>
    <w:p w:rsidR="41073589" w:rsidP="033D46DE" w:rsidRDefault="41073589" w14:paraId="1987C976" w14:textId="6E1761E9">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33D46DE" w:rsidR="410735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France’s welfare spending rose from 27.5% of GDP in 2000 to 31.2% in 2019, while growth declined from 4.14% to 2.02%. This appears to support the hypothesis. Yet, attributing causality is problematic. France’s slower growth also reflects demographic aging, labor market rigidities, and eurozone constraints. Welfare spending may correlate with lower growth but is not the sole driver.</w:t>
      </w:r>
    </w:p>
    <w:p w:rsidR="41073589" w:rsidP="033D46DE" w:rsidRDefault="41073589" w14:paraId="3708866D" w14:textId="0F640D87">
      <w:pPr>
        <w:pStyle w:val="Heading4"/>
        <w:keepNext w:val="1"/>
        <w:keepLines w:val="1"/>
        <w:spacing w:before="319" w:beforeAutospacing="off" w:after="319" w:afterAutospacing="off"/>
        <w:rPr>
          <w:rFonts w:ascii="Times New Roman" w:hAnsi="Times New Roman" w:eastAsia="Times New Roman" w:cs="Times New Roman"/>
          <w:b w:val="0"/>
          <w:bCs w:val="0"/>
          <w:i w:val="1"/>
          <w:iCs w:val="1"/>
          <w:caps w:val="0"/>
          <w:smallCaps w:val="0"/>
          <w:noProof w:val="0"/>
          <w:color w:val="0F4761" w:themeColor="accent1" w:themeTint="FF" w:themeShade="BF"/>
          <w:sz w:val="22"/>
          <w:szCs w:val="22"/>
          <w:lang w:val="en-US"/>
        </w:rPr>
      </w:pPr>
      <w:r w:rsidRPr="033D46DE" w:rsidR="41073589">
        <w:rPr>
          <w:rFonts w:ascii="Times New Roman" w:hAnsi="Times New Roman" w:eastAsia="Times New Roman" w:cs="Times New Roman"/>
          <w:b w:val="1"/>
          <w:bCs w:val="1"/>
          <w:i w:val="1"/>
          <w:iCs w:val="1"/>
          <w:caps w:val="0"/>
          <w:smallCaps w:val="0"/>
          <w:noProof w:val="0"/>
          <w:color w:val="0F4761" w:themeColor="accent1" w:themeTint="FF" w:themeShade="BF"/>
          <w:sz w:val="22"/>
          <w:szCs w:val="22"/>
          <w:lang w:val="en-US"/>
        </w:rPr>
        <w:t>Belgium</w:t>
      </w:r>
    </w:p>
    <w:p w:rsidR="41073589" w:rsidP="033D46DE" w:rsidRDefault="41073589" w14:paraId="0CBD709C" w14:textId="35167FF3">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33D46DE" w:rsidR="410735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Belgium’s spending increased from 23.5% (2000) to 28.9% (2019), while growth fell from 3.72% to 2.44%. Again, this suggests an inverse relationship. However, Belgium’s growth trajectory was heavily influenced by the 2008 financial crisis. Welfare spending arguably cushioned the downturn, preventing deeper recessions. Thus, while spending correlates with slower growth, it also stabilizes the economy.</w:t>
      </w:r>
    </w:p>
    <w:p w:rsidR="41073589" w:rsidP="033D46DE" w:rsidRDefault="41073589" w14:paraId="2FFD9E8E" w14:textId="59BC60EB">
      <w:pPr>
        <w:pStyle w:val="Heading4"/>
        <w:keepNext w:val="1"/>
        <w:keepLines w:val="1"/>
        <w:spacing w:before="319" w:beforeAutospacing="off" w:after="319" w:afterAutospacing="off"/>
        <w:rPr>
          <w:rFonts w:ascii="Times New Roman" w:hAnsi="Times New Roman" w:eastAsia="Times New Roman" w:cs="Times New Roman"/>
          <w:b w:val="0"/>
          <w:bCs w:val="0"/>
          <w:i w:val="1"/>
          <w:iCs w:val="1"/>
          <w:caps w:val="0"/>
          <w:smallCaps w:val="0"/>
          <w:noProof w:val="0"/>
          <w:color w:val="0F4761" w:themeColor="accent1" w:themeTint="FF" w:themeShade="BF"/>
          <w:sz w:val="22"/>
          <w:szCs w:val="22"/>
          <w:lang w:val="en-US"/>
        </w:rPr>
      </w:pPr>
      <w:r w:rsidRPr="033D46DE" w:rsidR="41073589">
        <w:rPr>
          <w:rFonts w:ascii="Times New Roman" w:hAnsi="Times New Roman" w:eastAsia="Times New Roman" w:cs="Times New Roman"/>
          <w:b w:val="1"/>
          <w:bCs w:val="1"/>
          <w:i w:val="1"/>
          <w:iCs w:val="1"/>
          <w:caps w:val="0"/>
          <w:smallCaps w:val="0"/>
          <w:noProof w:val="0"/>
          <w:color w:val="0F4761" w:themeColor="accent1" w:themeTint="FF" w:themeShade="BF"/>
          <w:sz w:val="22"/>
          <w:szCs w:val="22"/>
          <w:lang w:val="en-US"/>
        </w:rPr>
        <w:t>Finland</w:t>
      </w:r>
    </w:p>
    <w:p w:rsidR="41073589" w:rsidP="033D46DE" w:rsidRDefault="41073589" w14:paraId="76D7BB77" w14:textId="5B0E3992">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33D46DE" w:rsidR="410735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Finland complicates the hypothesis. In 2010, Finland had relatively high spending (27.4%) and strong growth (3.17%). In 2000, spending was lower (22.6%) but growth was exceptionally high (5.75%). This indicates that welfare spending does not consistently suppress growth. Finland’s growth reflects technological innovation and export performance, with welfare spending supporting social stability rather than undermining growth.</w:t>
      </w:r>
    </w:p>
    <w:p w:rsidR="41073589" w:rsidP="033D46DE" w:rsidRDefault="41073589" w14:paraId="3D32E512" w14:textId="7799DE05">
      <w:pPr>
        <w:pStyle w:val="Heading4"/>
        <w:keepNext w:val="1"/>
        <w:keepLines w:val="1"/>
        <w:spacing w:before="319" w:beforeAutospacing="off" w:after="319" w:afterAutospacing="off"/>
        <w:rPr>
          <w:rFonts w:ascii="Times New Roman" w:hAnsi="Times New Roman" w:eastAsia="Times New Roman" w:cs="Times New Roman"/>
          <w:b w:val="0"/>
          <w:bCs w:val="0"/>
          <w:i w:val="1"/>
          <w:iCs w:val="1"/>
          <w:caps w:val="0"/>
          <w:smallCaps w:val="0"/>
          <w:noProof w:val="0"/>
          <w:color w:val="0F4761" w:themeColor="accent1" w:themeTint="FF" w:themeShade="BF"/>
          <w:sz w:val="22"/>
          <w:szCs w:val="22"/>
          <w:lang w:val="en-US"/>
        </w:rPr>
      </w:pPr>
      <w:r w:rsidRPr="033D46DE" w:rsidR="41073589">
        <w:rPr>
          <w:rFonts w:ascii="Times New Roman" w:hAnsi="Times New Roman" w:eastAsia="Times New Roman" w:cs="Times New Roman"/>
          <w:b w:val="1"/>
          <w:bCs w:val="1"/>
          <w:i w:val="1"/>
          <w:iCs w:val="1"/>
          <w:caps w:val="0"/>
          <w:smallCaps w:val="0"/>
          <w:noProof w:val="0"/>
          <w:color w:val="0F4761" w:themeColor="accent1" w:themeTint="FF" w:themeShade="BF"/>
          <w:sz w:val="22"/>
          <w:szCs w:val="22"/>
          <w:lang w:val="en-US"/>
        </w:rPr>
        <w:t>Italy</w:t>
      </w:r>
    </w:p>
    <w:p w:rsidR="41073589" w:rsidP="033D46DE" w:rsidRDefault="41073589" w14:paraId="20BF0011" w14:textId="58B006CB">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33D46DE" w:rsidR="410735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Italy is often cited as a case where high welfare spending coincides with stagnation. Yet Italy’s growth problems stem largely from structural inefficiencies, debt burdens, and weak productivity. Welfare spending may exacerbate fiscal pressures but is not the primary determinant of growth outcomes.</w:t>
      </w:r>
    </w:p>
    <w:p w:rsidR="033D46DE" w:rsidP="033D46DE" w:rsidRDefault="033D46DE" w14:paraId="48CB818E" w14:textId="3EB958BE">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41073589" w:rsidP="033D46DE" w:rsidRDefault="41073589" w14:paraId="549D1A6E" w14:textId="78F06F27">
      <w:pPr>
        <w:pStyle w:val="Heading3"/>
        <w:keepNext w:val="1"/>
        <w:keepLines w:val="1"/>
        <w:spacing w:before="281" w:beforeAutospacing="off" w:after="281"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033D46DE" w:rsidR="41073589">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Critical Evaluation of Assumptions</w:t>
      </w:r>
    </w:p>
    <w:p w:rsidR="41073589" w:rsidP="033D46DE" w:rsidRDefault="41073589" w14:paraId="43A772A4" w14:textId="047B0128">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33D46DE" w:rsidR="410735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hypothesis assumes that welfare spending is purely </w:t>
      </w:r>
      <w:r w:rsidRPr="033D46DE" w:rsidR="41073589">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consumptive</w:t>
      </w:r>
      <w:r w:rsidRPr="033D46DE" w:rsidR="410735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(pensions, transfers) and therefore reduces productive investment. This assumption is overly simplistic. Welfare spending also includes </w:t>
      </w:r>
      <w:r w:rsidRPr="033D46DE" w:rsidR="41073589">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productive investments</w:t>
      </w:r>
      <w:r w:rsidRPr="033D46DE" w:rsidR="410735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 education, health, and labor market activation, which enhance long-term growth. Moreover, the hypothesis presumes a direct causal link between spending and growth, ignoring confounding variables such as demographics, crises, and institutional quality.</w:t>
      </w:r>
    </w:p>
    <w:p w:rsidR="41073589" w:rsidP="033D46DE" w:rsidRDefault="41073589" w14:paraId="3EE167DB" w14:textId="27FE28CA">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33D46DE" w:rsidR="410735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By interrogating these assumptions, the analysis reveals that welfare spending’s impact depends on composition and context. For example, Çelikay (2023) finds that social spending reduces chronic unemployment, indirectly supporting growth. OECD (2024) emphasizes that effective social protection fosters stronger growth by increasing labor force participation and resilience.</w:t>
      </w:r>
    </w:p>
    <w:p w:rsidR="033D46DE" w:rsidP="033D46DE" w:rsidRDefault="033D46DE" w14:paraId="4734AB4F" w14:textId="25D26AEE">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41073589" w:rsidP="033D46DE" w:rsidRDefault="41073589" w14:paraId="08341E04" w14:textId="3821EF20">
      <w:pPr>
        <w:pStyle w:val="Heading3"/>
        <w:keepNext w:val="1"/>
        <w:keepLines w:val="1"/>
        <w:spacing w:before="281" w:beforeAutospacing="off" w:after="281"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033D46DE" w:rsidR="41073589">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Literature Integration</w:t>
      </w:r>
    </w:p>
    <w:p w:rsidR="41073589" w:rsidP="033D46DE" w:rsidRDefault="41073589" w14:paraId="1254BB7D" w14:textId="4F119E2F">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33D46DE" w:rsidR="410735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Peer-reviewed studies provide nuanced insights:</w:t>
      </w:r>
    </w:p>
    <w:p w:rsidR="41073589" w:rsidP="033D46DE" w:rsidRDefault="41073589" w14:paraId="4DFF57D8" w14:textId="22E28D34">
      <w:pPr>
        <w:pStyle w:val="ListParagraph"/>
        <w:numPr>
          <w:ilvl w:val="0"/>
          <w:numId w:val="2"/>
        </w:num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33D46DE" w:rsidR="41073589">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Furceri &amp; Zdzienicka (2012)</w:t>
      </w:r>
      <w:r w:rsidRPr="033D46DE" w:rsidR="410735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Social spending has short-term expansionary effects, with multipliers similar to general government spending. </w:t>
      </w:r>
    </w:p>
    <w:p w:rsidR="41073589" w:rsidP="033D46DE" w:rsidRDefault="41073589" w14:paraId="0D5F46A1" w14:textId="40421102">
      <w:pPr>
        <w:pStyle w:val="ListParagraph"/>
        <w:numPr>
          <w:ilvl w:val="0"/>
          <w:numId w:val="2"/>
        </w:num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33D46DE" w:rsidR="41073589">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Santos &amp; Simões (2025)</w:t>
      </w:r>
      <w:r w:rsidRPr="033D46DE" w:rsidR="410735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Welfare states enhance standards of living when expenditures target education and health. </w:t>
      </w:r>
    </w:p>
    <w:p w:rsidR="41073589" w:rsidP="033D46DE" w:rsidRDefault="41073589" w14:paraId="38AFEDA6" w14:textId="0B5D5578">
      <w:pPr>
        <w:pStyle w:val="ListParagraph"/>
        <w:numPr>
          <w:ilvl w:val="0"/>
          <w:numId w:val="2"/>
        </w:num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33D46DE" w:rsidR="41073589">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OECD (2024)</w:t>
      </w:r>
      <w:r w:rsidRPr="033D46DE" w:rsidR="410735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Effective social protection fosters stronger growth by increasing labor force participation. </w:t>
      </w:r>
    </w:p>
    <w:p w:rsidR="41073589" w:rsidP="033D46DE" w:rsidRDefault="41073589" w14:paraId="110EE2DC" w14:textId="02C7A18B">
      <w:pPr>
        <w:pStyle w:val="ListParagraph"/>
        <w:numPr>
          <w:ilvl w:val="0"/>
          <w:numId w:val="2"/>
        </w:num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33D46DE" w:rsidR="41073589">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Çelikay (2023)</w:t>
      </w:r>
      <w:r w:rsidRPr="033D46DE" w:rsidR="410735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Social spending reduces chronic unemployment, indirectly supporting growth. </w:t>
      </w:r>
    </w:p>
    <w:p w:rsidR="41073589" w:rsidP="033D46DE" w:rsidRDefault="41073589" w14:paraId="062950B7" w14:textId="4D7C03B1">
      <w:pPr>
        <w:pStyle w:val="ListParagraph"/>
        <w:numPr>
          <w:ilvl w:val="0"/>
          <w:numId w:val="2"/>
        </w:num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33D46DE" w:rsidR="41073589">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Our World in Data (2023)</w:t>
      </w:r>
      <w:r w:rsidRPr="033D46DE" w:rsidR="410735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Welfare spending has risen steadily across OECD countries without uniformly suppressing growth.</w:t>
      </w:r>
    </w:p>
    <w:p w:rsidR="41073589" w:rsidP="033D46DE" w:rsidRDefault="41073589" w14:paraId="3B2390D4" w14:textId="1DC1ABF0">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33D46DE" w:rsidR="410735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These studies demonstrate that welfare spending can hinder or promote growth depending on its composition and efficiency. The evidence challenges the hypothesis of a universal inverse relationship.</w:t>
      </w:r>
    </w:p>
    <w:p w:rsidR="033D46DE" w:rsidP="033D46DE" w:rsidRDefault="033D46DE" w14:paraId="764BC618" w14:textId="09D4ECCE">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41073589" w:rsidP="033D46DE" w:rsidRDefault="41073589" w14:paraId="4C5D5A32" w14:textId="4CFF1064">
      <w:pPr>
        <w:pStyle w:val="Heading3"/>
        <w:keepNext w:val="1"/>
        <w:keepLines w:val="1"/>
        <w:spacing w:before="281" w:beforeAutospacing="off" w:after="281"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033D46DE" w:rsidR="41073589">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Synthesis</w:t>
      </w:r>
    </w:p>
    <w:p w:rsidR="41073589" w:rsidP="033D46DE" w:rsidRDefault="41073589" w14:paraId="49FB9364" w14:textId="45946676">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33D46DE" w:rsidR="410735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data provide limited support for the hypothesis. France and Belgium show patterns consistent with an inverse relationship, but Finland demonstrates that welfare states can sustain growth even with high spending. Italy’s stagnation reflects structural inefficiencies rather than welfare spending alone. Literature reinforces that welfare spending’s impact is conditional: </w:t>
      </w:r>
      <w:r w:rsidRPr="033D46DE" w:rsidR="41073589">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consumptive transfers may dampen growth, while productive investments foster it.</w:t>
      </w:r>
    </w:p>
    <w:p w:rsidR="41073589" w:rsidP="033D46DE" w:rsidRDefault="41073589" w14:paraId="7CAB35E5" w14:textId="7A34050B">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33D46DE" w:rsidR="410735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Moreover, welfare spending plays a stabilizing role during crises. During the 2008 financial crisis, welfare programs prevented deeper recessions by sustaining demand. Thus, while spending may reduce headline growth rates in some contexts, it also preserves long-term resilience.</w:t>
      </w:r>
    </w:p>
    <w:p w:rsidR="033D46DE" w:rsidP="033D46DE" w:rsidRDefault="033D46DE" w14:paraId="4880D2DC" w14:textId="472B6634">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41073589" w:rsidP="033D46DE" w:rsidRDefault="41073589" w14:paraId="36EE7F14" w14:textId="51D651E1">
      <w:pPr>
        <w:pStyle w:val="Heading3"/>
        <w:keepNext w:val="1"/>
        <w:keepLines w:val="1"/>
        <w:spacing w:before="281" w:beforeAutospacing="off" w:after="281"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033D46DE" w:rsidR="41073589">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Conclusion</w:t>
      </w:r>
    </w:p>
    <w:p w:rsidR="41073589" w:rsidP="033D46DE" w:rsidRDefault="41073589" w14:paraId="19871B70" w14:textId="37C3F7EF">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33D46DE" w:rsidR="410735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hypothesis that “social service spending is inversely related to economic growth” is overly simplistic. The OECD and World Bank data show partial support, but the relationship is contingent on context, composition, and institutional design. Peer-reviewed literature underscores that welfare spending can both hinder and promote growth, depending on whether it is consumptive or productive. Therefore, the hypothesis should be reframed: </w:t>
      </w:r>
      <w:r w:rsidRPr="033D46DE" w:rsidR="41073589">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social service spending’s impact on growth is conditional, not universally inverse.</w:t>
      </w:r>
    </w:p>
    <w:p w:rsidR="033D46DE" w:rsidP="033D46DE" w:rsidRDefault="033D46DE" w14:paraId="50B68120" w14:textId="0F0D9E1F">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41073589" w:rsidP="033D46DE" w:rsidRDefault="41073589" w14:paraId="32F12761" w14:textId="2235410E">
      <w:pPr>
        <w:pStyle w:val="Heading3"/>
        <w:keepNext w:val="1"/>
        <w:keepLines w:val="1"/>
        <w:spacing w:before="281" w:beforeAutospacing="off" w:after="281"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033D46DE" w:rsidR="41073589">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References</w:t>
      </w:r>
    </w:p>
    <w:p w:rsidR="41073589" w:rsidP="033D46DE" w:rsidRDefault="41073589" w14:paraId="0A4E1F03" w14:textId="56A18D6D">
      <w:pPr>
        <w:pStyle w:val="ListParagraph"/>
        <w:numPr>
          <w:ilvl w:val="0"/>
          <w:numId w:val="3"/>
        </w:num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33D46DE" w:rsidR="410735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Furceri, D., &amp; Zdzienicka, A. (2012). </w:t>
      </w:r>
      <w:r w:rsidRPr="033D46DE" w:rsidR="41073589">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The Effects of Social Spending on Economic Activity: Empirical Evidence from a Panel of OECD Countries</w:t>
      </w:r>
      <w:r w:rsidRPr="033D46DE" w:rsidR="410735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Fiscal Studies, 33(1), 129–152. </w:t>
      </w:r>
    </w:p>
    <w:p w:rsidR="41073589" w:rsidP="033D46DE" w:rsidRDefault="41073589" w14:paraId="704AE2E8" w14:textId="7E907450">
      <w:pPr>
        <w:pStyle w:val="ListParagraph"/>
        <w:numPr>
          <w:ilvl w:val="0"/>
          <w:numId w:val="3"/>
        </w:num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33D46DE" w:rsidR="410735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Santos, M., &amp; Simões, M. (2025). </w:t>
      </w:r>
      <w:r w:rsidRPr="033D46DE" w:rsidR="41073589">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Social expenditure composition, welfare models and standards of living across the OECD</w:t>
      </w:r>
      <w:r w:rsidRPr="033D46DE" w:rsidR="410735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Springer. </w:t>
      </w:r>
      <w:hyperlink r:id="Rb4a4abeaf5c24972">
        <w:r w:rsidRPr="033D46DE" w:rsidR="41073589">
          <w:rPr>
            <w:rStyle w:val="Hyperlink"/>
            <w:rFonts w:ascii="Times New Roman" w:hAnsi="Times New Roman" w:eastAsia="Times New Roman" w:cs="Times New Roman"/>
            <w:b w:val="0"/>
            <w:bCs w:val="0"/>
            <w:i w:val="0"/>
            <w:iCs w:val="0"/>
            <w:caps w:val="0"/>
            <w:smallCaps w:val="0"/>
            <w:strike w:val="0"/>
            <w:dstrike w:val="0"/>
            <w:noProof w:val="0"/>
            <w:sz w:val="22"/>
            <w:szCs w:val="22"/>
            <w:lang w:val="en-US"/>
          </w:rPr>
          <w:t>https://doi.org/10.1007/s42495-025-00158-2</w:t>
        </w:r>
      </w:hyperlink>
      <w:r w:rsidRPr="033D46DE" w:rsidR="410735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w:rsidR="41073589" w:rsidP="033D46DE" w:rsidRDefault="41073589" w14:paraId="2C5594E0" w14:textId="64C9CB0D">
      <w:pPr>
        <w:pStyle w:val="ListParagraph"/>
        <w:numPr>
          <w:ilvl w:val="0"/>
          <w:numId w:val="3"/>
        </w:num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33D46DE" w:rsidR="410735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OECD. (2024). </w:t>
      </w:r>
      <w:r w:rsidRPr="033D46DE" w:rsidR="41073589">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More Effective Social Protection for Stronger Economic Growth</w:t>
      </w:r>
      <w:r w:rsidRPr="033D46DE" w:rsidR="410735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OECD Publishing. </w:t>
      </w:r>
    </w:p>
    <w:p w:rsidR="41073589" w:rsidP="033D46DE" w:rsidRDefault="41073589" w14:paraId="72A65B69" w14:textId="666B1027">
      <w:pPr>
        <w:pStyle w:val="ListParagraph"/>
        <w:numPr>
          <w:ilvl w:val="0"/>
          <w:numId w:val="3"/>
        </w:num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33D46DE" w:rsidR="410735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Çelikay, F. (2023). </w:t>
      </w:r>
      <w:r w:rsidRPr="033D46DE" w:rsidR="41073589">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Social spending and chronic unemployment: evidence from OECD countries</w:t>
      </w:r>
      <w:r w:rsidRPr="033D46DE" w:rsidR="410735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Review of Economics and Political Science, 8(2), 86–107. </w:t>
      </w:r>
    </w:p>
    <w:p w:rsidR="41073589" w:rsidP="033D46DE" w:rsidRDefault="41073589" w14:paraId="047D71B9" w14:textId="138D61F3">
      <w:pPr>
        <w:pStyle w:val="ListParagraph"/>
        <w:numPr>
          <w:ilvl w:val="0"/>
          <w:numId w:val="3"/>
        </w:num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33D46DE" w:rsidR="410735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Our World in Data. (2023). </w:t>
      </w:r>
      <w:r w:rsidRPr="033D46DE" w:rsidR="41073589">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Public social spending as share of GDP</w:t>
      </w:r>
      <w:r w:rsidRPr="033D46DE" w:rsidR="410735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hyperlink r:id="R852a534db39948c5">
        <w:r w:rsidRPr="033D46DE" w:rsidR="41073589">
          <w:rPr>
            <w:rStyle w:val="Hyperlink"/>
            <w:rFonts w:ascii="Times New Roman" w:hAnsi="Times New Roman" w:eastAsia="Times New Roman" w:cs="Times New Roman"/>
            <w:b w:val="0"/>
            <w:bCs w:val="0"/>
            <w:i w:val="0"/>
            <w:iCs w:val="0"/>
            <w:caps w:val="0"/>
            <w:smallCaps w:val="0"/>
            <w:strike w:val="0"/>
            <w:dstrike w:val="0"/>
            <w:noProof w:val="0"/>
            <w:sz w:val="22"/>
            <w:szCs w:val="22"/>
            <w:lang w:val="en-US"/>
          </w:rPr>
          <w:t>https://ourworldindata.org/grapher/social-spending-oecd-longrun</w:t>
        </w:r>
      </w:hyperlink>
    </w:p>
    <w:p w:rsidR="033D46DE" w:rsidP="033D46DE" w:rsidRDefault="033D46DE" w14:paraId="477C571A" w14:textId="393FCB04">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1d9e68cf"/>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905d5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8a209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99B294"/>
    <w:rsid w:val="033D46DE"/>
    <w:rsid w:val="41073589"/>
    <w:rsid w:val="4799B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7054C"/>
  <w15:chartTrackingRefBased/>
  <w15:docId w15:val="{E6C6BB42-5F4E-4FF6-B618-8C49B47D90E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033D46D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33D46DE"/>
    <w:pPr>
      <w:spacing/>
      <w:ind w:left="720"/>
      <w:contextualSpacing/>
    </w:pPr>
  </w:style>
  <w:style w:type="paragraph" w:styleId="Heading4">
    <w:uiPriority w:val="9"/>
    <w:name w:val="heading 4"/>
    <w:basedOn w:val="Normal"/>
    <w:next w:val="Normal"/>
    <w:unhideWhenUsed/>
    <w:qFormat/>
    <w:rsid w:val="033D46DE"/>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yperlink">
    <w:uiPriority w:val="99"/>
    <w:name w:val="Hyperlink"/>
    <w:basedOn w:val="DefaultParagraphFont"/>
    <w:unhideWhenUsed/>
    <w:rsid w:val="033D46D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i.org/10.1007/s42495-025-00158-2" TargetMode="External" Id="Rb4a4abeaf5c24972" /><Relationship Type="http://schemas.openxmlformats.org/officeDocument/2006/relationships/hyperlink" Target="https://ourworldindata.org/grapher/social-spending-oecd-longrun" TargetMode="External" Id="R852a534db39948c5" /><Relationship Type="http://schemas.openxmlformats.org/officeDocument/2006/relationships/numbering" Target="numbering.xml" Id="Rafb98b3261374d2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2025-11-23T17:55:03.8192462Z</dcterms:created>
  <dcterms:modified xsi:type="dcterms:W3CDTF">2025-11-23T17:57:41.8229992Z</dcterms:modified>
  <dc:creator>HuuThanhVy Nguyen</dc:creator>
  <lastModifiedBy>HuuThanhVy Nguyen</lastModifiedBy>
</coreProperties>
</file>