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CBED831" wp14:paraId="52F81B10" wp14:textId="7076D486">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US"/>
        </w:rPr>
      </w:pPr>
      <w:r w:rsidRPr="1CBED831" w:rsidR="7FADCD38">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US"/>
        </w:rPr>
        <w:t>Title: The Welfare Paradox: Untangling the Causal Web Between Social Spending and Economic Growth</w:t>
      </w:r>
    </w:p>
    <w:p xmlns:wp14="http://schemas.microsoft.com/office/word/2010/wordml" w:rsidP="1CBED831" wp14:paraId="51AF6EF5" wp14:textId="529BC60B">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BED831" w:rsidR="7FADCD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Introduction</w:t>
      </w:r>
      <w:r w:rsidRPr="1CBED831" w:rsidR="7FADCD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relationship between government size—specifically social welfare spending—and economic performance is one of the most contentious debates in modern political economy. The hypothesis that "social service spending is inversely related to economic growth" posits that as nations allocate more resources to social safety nets, healthcare, and pensions, their economic dynamism diminishes. This perspective relies on the assumption that high taxation and labor market rigidities associated with welfare states disincentivize work and investment. Conversely, proponents of the welfare state argue that social spending acts as an automatic stabilizer and human capital investment, potentially fostering long-term growth. This essay analyzes the extent to which the attached economic data for France, Belgium, and Finland support the hypothesis of an inverse relationship. By scrutinizing this data alongside five peer-reviewed articles, it is evident that while the provided dataset demonstrates a strong superficial correlation supporting the hypothesis, the causal mechanisms are likely bidirectional and heavily influenced by exogenous structural factors such as aging populations and global economic cycles.</w:t>
      </w:r>
    </w:p>
    <w:p xmlns:wp14="http://schemas.microsoft.com/office/word/2010/wordml" w:rsidP="1CBED831" wp14:paraId="6205D669" wp14:textId="19D4BE64">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BED831" w:rsidR="7FADCD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Literature Review and Critical Assessment</w:t>
      </w:r>
      <w:r w:rsidRPr="1CBED831" w:rsidR="7FADCD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theoretical landscape regarding social spending and growth is bifurcated, and a critical examination of the literature reveals significant methodological divergences. Neoclassical growth models generally predict a negative relationship, positing that the taxation required to finance social transfers creates deadweight losses. Supporting this view, empirical research by Afonso and Furceri (2010) suggests that large government sectors hinder economic growth in OECD countries. However, one must question the aggregation methods used in such broad panel studies; by grouping diverse economies together, these models often obscure the success of specific "Nordic model" adaptations where high spending coexists with high competitiveness, suggesting that the efficiency of spending matters more than the volume.</w:t>
      </w:r>
    </w:p>
    <w:p xmlns:wp14="http://schemas.microsoft.com/office/word/2010/wordml" w:rsidP="1CBED831" wp14:paraId="04CBDADB" wp14:textId="04F9AB9D">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BED831" w:rsidR="7FADCD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Conversely, endogenous growth theory suggests that certain types of social spending, particularly in education and health, can enhance human capital. Beraldo, Montolio, and Turati (2009) argue that the composition of spending determines the outcome; spending that improves workforce health correlates positively with growth. This highlights a critical limitation of the hypothesis: treating "social service spending" as a monolithic category conceals the growth-enhancing potential of specific investments.</w:t>
      </w:r>
    </w:p>
    <w:p xmlns:wp14="http://schemas.microsoft.com/office/word/2010/wordml" w:rsidP="1CBED831" wp14:paraId="0FD90E56" wp14:textId="518A26D8">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BED831" w:rsidR="7FADCD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Furthermore, the relationship may be cyclical. Furceri and Zdzienicka (2012) provide evidence that social spending acts as a counter-cyclical buffer during downturns. This Keynesian perspective suggests that the "inverse" relationship in the data might be a case of reverse causality: slow growth triggers higher social spending (e.g., unemployment benefits), rather than spending causing slow growth.</w:t>
      </w:r>
    </w:p>
    <w:p xmlns:wp14="http://schemas.microsoft.com/office/word/2010/wordml" w:rsidP="1CBED831" wp14:paraId="55245C03" wp14:textId="10597E98">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BED831" w:rsidR="7FADCD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Recent evidence adds further complexity but requires scrutiny regarding its metrics. Ding (2014) reinforces the negative correlation, suggesting that generous welfare programs reduce lifetime working hours, thereby lowering aggregate output. However, Ding’s methodology, which relies heavily on aggregate labor hours, may fail to account for the "productivity puzzle"—where fewer hours worked in high-welfare states like France are compensated by significantly higher productivity per hour. Therefore, relying solely on labor supply data to claim welfare harms growth creates an incomplete picture of total economic efficiency. Finally, Arpaia and Turrini (2008) emphasize that the quality of institutions mediates this relationship, implying that the "inverse" hypothesis holds true primarily in nations with inefficient public sectors, rather than being a universal economic law.</w:t>
      </w:r>
    </w:p>
    <w:p xmlns:wp14="http://schemas.microsoft.com/office/word/2010/wordml" w:rsidP="1CBED831" wp14:paraId="18AA2D94" wp14:textId="20116EEB">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BED831" w:rsidR="7FADCD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Data Analysis</w:t>
      </w:r>
      <w:r w:rsidRPr="1CBED831" w:rsidR="7FADCD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attached data for France, Belgium, and Finland provides a compelling, albeit historically bounded, snapshot of the relationship between social welfare spending (as a percentage of GDP) and annual GDP growth from 2000 to 2019.</w:t>
      </w:r>
    </w:p>
    <w:p xmlns:wp14="http://schemas.microsoft.com/office/word/2010/wordml" w:rsidP="1CBED831" wp14:paraId="2BED044E" wp14:textId="48F0B56C">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BED831" w:rsidR="7FADCD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w:t>
      </w:r>
      <w:r w:rsidRPr="1CBED831" w:rsidR="7FADCD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France</w:t>
      </w:r>
      <w:r w:rsidRPr="1CBED831" w:rsidR="7FADCD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there is a clear divergent trend. In 2000, France spent 27.5% of its GDP on social welfare and achieved a robust growth rate of 4.14%. By 2019, spending had risen to 31.2%, while growth had stagnated to 2.02%. The intermediate years confirm this pattern; as spending climbed to 30.7% in 2010, growth lagged at 2.00%. This trajectory superficially supports the hypothesis, suggesting that as the French state expanded, economic dynamism waned.</w:t>
      </w:r>
    </w:p>
    <w:p xmlns:wp14="http://schemas.microsoft.com/office/word/2010/wordml" w:rsidP="1CBED831" wp14:paraId="630F8D93" wp14:textId="28B7AF8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BED831" w:rsidR="7FADCD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Belgium</w:t>
      </w:r>
      <w:r w:rsidRPr="1CBED831" w:rsidR="7FADCD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presents a similar profile. Between 2000 and 2019, social spending increased by 5.4 percentage points (from 23.5% to 28.9%). Concurrently, annual GDP growth declined from 3.72% to 2.44%. The data point for 2010 is particularly instructive regarding the limits of the hypothesis: spending spiked to 28.3% (likely a response to the 2008 financial crisis), yet growth was 2.71%—lower than the 2000 baseline but notably higher than the 2016 low of 1.19%. This volatility suggests that while the long-term trend fits the hypothesis, short-term variances are driven by factors other than spending levels.</w:t>
      </w:r>
    </w:p>
    <w:p xmlns:wp14="http://schemas.microsoft.com/office/word/2010/wordml" w:rsidP="1CBED831" wp14:paraId="207408A4" wp14:textId="4ACA423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BED831" w:rsidR="7FADCD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Finland</w:t>
      </w:r>
      <w:r w:rsidRPr="1CBED831" w:rsidR="7FADCD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offers the most dramatic evidence favoring the hypothesis. In 2000, Finland combined a relatively low social spending ratio of 22.6% with an impressive growth rate of 5.75%. By 2019, spending had surged to 28.7%, and growth had collapsed to 1.35%. This represents a massive shift: a 6.1 percentage point increase in the "size" of the welfare state coincided with a 76% reduction in the economic growth rate.</w:t>
      </w:r>
    </w:p>
    <w:p xmlns:wp14="http://schemas.microsoft.com/office/word/2010/wordml" w:rsidP="1CBED831" wp14:paraId="1F3D9F87" wp14:textId="6BB57DBC">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BED831" w:rsidR="7FADCD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Synthesis: Context and Assumptions</w:t>
      </w:r>
      <w:r w:rsidRPr="1CBED831" w:rsidR="7FADCD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what extent do these data support the hypothesis? Statistically, the extent is high; a regression of these points would yield a negative coefficient. However, a critical analysis must challenge the assumption of </w:t>
      </w:r>
      <w:r w:rsidRPr="1CBED831" w:rsidR="7FADCD3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ceteris paribus</w:t>
      </w:r>
      <w:r w:rsidRPr="1CBED831" w:rsidR="7FADCD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(all other things being equal) that the hypothesis relies upon. The data does not exist in a vacuum, and two major contextual factors undermine a purely causal interpretation.</w:t>
      </w:r>
    </w:p>
    <w:p xmlns:wp14="http://schemas.microsoft.com/office/word/2010/wordml" w:rsidP="1CBED831" wp14:paraId="2E749565" wp14:textId="0AB58DA8">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BED831" w:rsidR="7FADCD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First is the </w:t>
      </w:r>
      <w:r w:rsidRPr="1CBED831" w:rsidR="7FADCD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Denominator Effect (Wagner’s Law)</w:t>
      </w:r>
      <w:r w:rsidRPr="1CBED831" w:rsidR="7FADCD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Social spending is expressed as a percentage of GDP. When GDP growth slows due to exogenous shocks—such as the 2008 financial crisis or the Eurozone debt crisis—the </w:t>
      </w:r>
      <w:r w:rsidRPr="1CBED831" w:rsidR="7FADCD3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percentage</w:t>
      </w:r>
      <w:r w:rsidRPr="1CBED831" w:rsidR="7FADCD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social spending naturally rises even if the absolute amount of spending remains constant. The high spending ratios in 2010 across all three nations likely reflect a contraction in the GDP denominator rather than a proactive policy decision to expand the welfare state. In this context, slow growth caused the high spending ratio, reversing the hypothesis.</w:t>
      </w:r>
    </w:p>
    <w:p xmlns:wp14="http://schemas.microsoft.com/office/word/2010/wordml" w:rsidP="1CBED831" wp14:paraId="5B96EA5E" wp14:textId="6608D066">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BED831" w:rsidR="7FADCD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Second, and perhaps most critically, is the </w:t>
      </w:r>
      <w:r w:rsidRPr="1CBED831" w:rsidR="7FADCD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Demographic Confounder</w:t>
      </w:r>
      <w:r w:rsidRPr="1CBED831" w:rsidR="7FADCD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period from 2000 to 2019 coincides with rapid population aging in Western Europe. An aging population simultaneously increases social spending (via pensions and healthcare) and decreases potential economic growth (due to a shrinking workforce). Thus, the inverse relationship observed is likely spurious, driven by the third variable of demographics. To assume the spending </w:t>
      </w:r>
      <w:r w:rsidRPr="1CBED831" w:rsidR="7FADCD3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caused</w:t>
      </w:r>
      <w:r w:rsidRPr="1CBED831" w:rsidR="7FADCD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low growth without accounting for the graying workforce is to commit a logical fallacy.</w:t>
      </w:r>
    </w:p>
    <w:p xmlns:wp14="http://schemas.microsoft.com/office/word/2010/wordml" w:rsidP="1CBED831" wp14:paraId="2BAF2575" wp14:textId="0F0859A7">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BED831" w:rsidR="7FADCD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Conclusion</w:t>
      </w:r>
      <w:r w:rsidRPr="1CBED831" w:rsidR="7FADCD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attached economic data for France, Belgium, and Finland provide significant empirical support for the hypothesis that social service spending is inversely related to economic growth, as every instance of increased spending correlated with diminished economic expansion over the 20-year period. However, correlation is not causation. By prioritizing the structural context over the raw data, this analysis concludes that the hypothesis is only partially supported. The "inverse relationship" is less the result of welfare spending stifling growth, and more the result of demographic shifts and economic contractions driving up spending ratios. Therefore, while the data supports the trend, it does not indict social spending as the primary culprit for economic stagnation; rather, both metrics are symptoms of mature, aging economies navigating a post-industrial landscape.</w:t>
      </w:r>
    </w:p>
    <w:p xmlns:wp14="http://schemas.microsoft.com/office/word/2010/wordml" w:rsidP="1CBED831" wp14:paraId="1BA5AC03" wp14:textId="0EC9E84B">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BED831" w:rsidR="7FADCD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References</w:t>
      </w:r>
    </w:p>
    <w:p xmlns:wp14="http://schemas.microsoft.com/office/word/2010/wordml" w:rsidP="1CBED831" wp14:paraId="065746CB" wp14:textId="0032AD22">
      <w:pPr>
        <w:pStyle w:val="ListParagraph"/>
        <w:numPr>
          <w:ilvl w:val="0"/>
          <w:numId w:val="17"/>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BED831" w:rsidR="7FADCD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Afonso, A., &amp; Furceri, D. (2010). Government size, composition, volatility and economic growth. </w:t>
      </w:r>
      <w:r w:rsidRPr="1CBED831" w:rsidR="7FADCD3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European Journal of Political Economy</w:t>
      </w:r>
      <w:r w:rsidRPr="1CBED831" w:rsidR="7FADCD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26(4), 517-532.</w:t>
      </w:r>
    </w:p>
    <w:p xmlns:wp14="http://schemas.microsoft.com/office/word/2010/wordml" w:rsidP="1CBED831" wp14:paraId="086493CF" wp14:textId="647A7A4B">
      <w:pPr>
        <w:pStyle w:val="ListParagraph"/>
        <w:numPr>
          <w:ilvl w:val="0"/>
          <w:numId w:val="17"/>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BED831" w:rsidR="7FADCD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Arpaia, A., &amp; Turrini, A. (2008). Government expenditure and economic growth in the EU: long-run tendencies and short-term adjustment. </w:t>
      </w:r>
      <w:r w:rsidRPr="1CBED831" w:rsidR="7FADCD3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European Economy - Economic Papers</w:t>
      </w:r>
      <w:r w:rsidRPr="1CBED831" w:rsidR="7FADCD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300.</w:t>
      </w:r>
    </w:p>
    <w:p xmlns:wp14="http://schemas.microsoft.com/office/word/2010/wordml" w:rsidP="1CBED831" wp14:paraId="28E89B9A" wp14:textId="3829DB42">
      <w:pPr>
        <w:pStyle w:val="ListParagraph"/>
        <w:numPr>
          <w:ilvl w:val="0"/>
          <w:numId w:val="17"/>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BED831" w:rsidR="7FADCD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Beraldo, S., Montolio, D., &amp; Turati, G. (2009). Healthy, educated and wealthy: Is the welfare state really harmful for growth? </w:t>
      </w:r>
      <w:r w:rsidRPr="1CBED831" w:rsidR="7FADCD3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Empirical Economics</w:t>
      </w:r>
      <w:r w:rsidRPr="1CBED831" w:rsidR="7FADCD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37(2), 255-304.</w:t>
      </w:r>
    </w:p>
    <w:p xmlns:wp14="http://schemas.microsoft.com/office/word/2010/wordml" w:rsidP="1CBED831" wp14:paraId="6F9ACC88" wp14:textId="03BEFC7A">
      <w:pPr>
        <w:pStyle w:val="ListParagraph"/>
        <w:numPr>
          <w:ilvl w:val="0"/>
          <w:numId w:val="17"/>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BED831" w:rsidR="7FADCD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Ding, H. (2014). Economic Growth and Welfare State: A Debate of Econometrics. </w:t>
      </w:r>
      <w:r w:rsidRPr="1CBED831" w:rsidR="7FADCD3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Journal of Economics and Development Studies</w:t>
      </w:r>
      <w:r w:rsidRPr="1CBED831" w:rsidR="7FADCD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2(2), 23-40.</w:t>
      </w:r>
    </w:p>
    <w:p xmlns:wp14="http://schemas.microsoft.com/office/word/2010/wordml" w:rsidP="1CBED831" wp14:paraId="05287D44" wp14:textId="5672EE33">
      <w:pPr>
        <w:pStyle w:val="ListParagraph"/>
        <w:numPr>
          <w:ilvl w:val="0"/>
          <w:numId w:val="17"/>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BED831" w:rsidR="7FADCD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Furceri, D., &amp; Zdzienicka, A. (2012). The consequences of banking crises on public debt. </w:t>
      </w:r>
      <w:r w:rsidRPr="1CBED831" w:rsidR="7FADCD3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International Finance</w:t>
      </w:r>
      <w:r w:rsidRPr="1CBED831" w:rsidR="7FADCD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15(2), 152-174.</w:t>
      </w:r>
    </w:p>
    <w:p xmlns:wp14="http://schemas.microsoft.com/office/word/2010/wordml" w:rsidP="52AED5A1" wp14:paraId="2C078E63" wp14:textId="6A9820CB">
      <w:pPr>
        <w:rPr>
          <w:rFonts w:ascii="Times New Roman" w:hAnsi="Times New Roman" w:eastAsia="Times New Roman" w:cs="Times New Roman"/>
          <w:color w:val="auto"/>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7">
    <w:nsid w:val="7350a49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e008d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38df4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8cb22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eb782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ec636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932a9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ba196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161cd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1d6c0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f931b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7b17f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47170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cfef9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d3759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85c53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fd72a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D6269D"/>
    <w:rsid w:val="00AFA249"/>
    <w:rsid w:val="011CB5ED"/>
    <w:rsid w:val="1CBED831"/>
    <w:rsid w:val="2CD6269D"/>
    <w:rsid w:val="33B35673"/>
    <w:rsid w:val="3C5BFB08"/>
    <w:rsid w:val="3F3D712D"/>
    <w:rsid w:val="425592A2"/>
    <w:rsid w:val="52AED5A1"/>
    <w:rsid w:val="7FADC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6269D"/>
  <w15:chartTrackingRefBased/>
  <w15:docId w15:val="{53F35868-81E9-479C-A534-C8082E5743E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25592A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425592A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25592A2"/>
    <w:pPr>
      <w:spacing/>
      <w:ind w:left="720"/>
      <w:contextualSpacing/>
    </w:pPr>
  </w:style>
  <w:style w:type="paragraph" w:styleId="Heading4">
    <w:uiPriority w:val="9"/>
    <w:name w:val="heading 4"/>
    <w:basedOn w:val="Normal"/>
    <w:next w:val="Normal"/>
    <w:unhideWhenUsed/>
    <w:qFormat/>
    <w:rsid w:val="52AED5A1"/>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5cef1480c544fa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2025-11-04T16:15:41.3223429Z</dcterms:created>
  <dcterms:modified xsi:type="dcterms:W3CDTF">2025-11-23T17:52:33.5750244Z</dcterms:modified>
  <dc:creator>HuuThanhVy Nguyen</dc:creator>
  <lastModifiedBy>HuuThanhVy Nguyen</lastModifiedBy>
</coreProperties>
</file>