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FA0E702" wp14:paraId="4FB59272" wp14:textId="06FCE5D7">
      <w:pPr>
        <w:pStyle w:val="Heading1"/>
        <w:keepNext w:val="1"/>
        <w:keepLines w:val="1"/>
        <w:spacing w:before="322" w:beforeAutospacing="off" w:after="322" w:afterAutospacing="off"/>
        <w:rPr>
          <w:rFonts w:ascii="Times" w:hAnsi="Times" w:eastAsia="Times" w:cs="Times"/>
          <w:b w:val="0"/>
          <w:bCs w:val="0"/>
          <w:i w:val="0"/>
          <w:iCs w:val="0"/>
          <w:caps w:val="0"/>
          <w:smallCaps w:val="0"/>
          <w:noProof w:val="0"/>
          <w:color w:val="0F4761" w:themeColor="accent1" w:themeTint="FF" w:themeShade="BF"/>
          <w:sz w:val="22"/>
          <w:szCs w:val="22"/>
          <w:lang w:val="en-US"/>
        </w:rPr>
      </w:pPr>
      <w:r w:rsidRPr="5FA0E702" w:rsidR="06D260DA">
        <w:rPr>
          <w:rFonts w:ascii="Times" w:hAnsi="Times" w:eastAsia="Times" w:cs="Times"/>
          <w:b w:val="1"/>
          <w:bCs w:val="1"/>
          <w:i w:val="0"/>
          <w:iCs w:val="0"/>
          <w:caps w:val="0"/>
          <w:smallCaps w:val="0"/>
          <w:noProof w:val="0"/>
          <w:color w:val="0F4761" w:themeColor="accent1" w:themeTint="FF" w:themeShade="BF"/>
          <w:sz w:val="22"/>
          <w:szCs w:val="22"/>
          <w:lang w:val="en-US"/>
        </w:rPr>
        <w:t>Real Estate Investment Market Analysis in the Boston Metropolitan Area, 2024</w:t>
      </w:r>
    </w:p>
    <w:p xmlns:wp14="http://schemas.microsoft.com/office/word/2010/wordml" w:rsidP="5FA0E702" wp14:paraId="19721371" wp14:textId="1DC1D60C">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The Boston Metropolitan Area in 2024 presents one of the most complex and deeply studied real estate environments in the United States. The region's market results from decades of economic restructuring, constrained land use, demographic shifts, and policy decisions that have shaped the landscape investors face today. Understanding this market requires more than a review of year-to-year pricing trends; it requires examining the historical, political, regulatory, and macroeconomic conditions that together construct an environment where opportunity and risk coexist in unusually intricate ways. The following analysis explores the economic foundations of the region, the structural barriers limiting supply, emerging investment opportunities, and future implications. Throughout, the essay assesses evidence from expert sources, interrogates assumptions, and synthesizes competing viewpoints to form a clear, nuanced investment position.</w:t>
      </w:r>
    </w:p>
    <w:p xmlns:wp14="http://schemas.microsoft.com/office/word/2010/wordml" w:rsidP="5FA0E702" wp14:paraId="4A558E23" wp14:textId="3709C004">
      <w:pPr>
        <w:rPr>
          <w:rFonts w:ascii="Times" w:hAnsi="Times" w:eastAsia="Times" w:cs="Times"/>
          <w:b w:val="0"/>
          <w:bCs w:val="0"/>
          <w:i w:val="0"/>
          <w:iCs w:val="0"/>
          <w:caps w:val="0"/>
          <w:smallCaps w:val="0"/>
          <w:noProof w:val="0"/>
          <w:color w:val="000000" w:themeColor="text1" w:themeTint="FF" w:themeShade="FF"/>
          <w:sz w:val="22"/>
          <w:szCs w:val="22"/>
          <w:lang w:val="en-US"/>
        </w:rPr>
      </w:pPr>
    </w:p>
    <w:p xmlns:wp14="http://schemas.microsoft.com/office/word/2010/wordml" w:rsidP="5FA0E702" wp14:paraId="204AF33F" wp14:textId="5979352D">
      <w:pPr>
        <w:pStyle w:val="Heading2"/>
        <w:keepNext w:val="1"/>
        <w:keepLines w:val="1"/>
        <w:spacing w:before="299" w:beforeAutospacing="off" w:after="299" w:afterAutospacing="off"/>
        <w:rPr>
          <w:rFonts w:ascii="Times" w:hAnsi="Times" w:eastAsia="Times" w:cs="Times"/>
          <w:b w:val="0"/>
          <w:bCs w:val="0"/>
          <w:i w:val="0"/>
          <w:iCs w:val="0"/>
          <w:caps w:val="0"/>
          <w:smallCaps w:val="0"/>
          <w:noProof w:val="0"/>
          <w:color w:val="0F4761" w:themeColor="accent1" w:themeTint="FF" w:themeShade="BF"/>
          <w:sz w:val="22"/>
          <w:szCs w:val="22"/>
          <w:lang w:val="en-US"/>
        </w:rPr>
      </w:pPr>
      <w:r w:rsidRPr="5FA0E702" w:rsidR="06D260DA">
        <w:rPr>
          <w:rFonts w:ascii="Times" w:hAnsi="Times" w:eastAsia="Times" w:cs="Times"/>
          <w:b w:val="1"/>
          <w:bCs w:val="1"/>
          <w:i w:val="0"/>
          <w:iCs w:val="0"/>
          <w:caps w:val="0"/>
          <w:smallCaps w:val="0"/>
          <w:noProof w:val="0"/>
          <w:color w:val="0F4761" w:themeColor="accent1" w:themeTint="FF" w:themeShade="BF"/>
          <w:sz w:val="22"/>
          <w:szCs w:val="22"/>
          <w:lang w:val="en-US"/>
        </w:rPr>
        <w:t>Economic and Demographic Foundations of the 2024 Market</w:t>
      </w:r>
    </w:p>
    <w:p xmlns:wp14="http://schemas.microsoft.com/office/word/2010/wordml" w:rsidP="5FA0E702" wp14:paraId="5A3B2DE9" wp14:textId="0F0E0986">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The Boston Metropolitan Area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maintains</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its long-standing reputation as one of the nation’s most resilient regional economies, supported by education, healthcare, biotechnology, and finance. According to the U.S. Department of Housing and Urban Development (HUD), unemployment in the Boston NECTA declined slightly to 3.1 percent in early 2024, reflecting a labor market that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remains</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tighter than the national average (HUD, 2024). These economic anchors sustain stable housing demand and a reliable renter base, even as broader national markets experience volatility.</w:t>
      </w:r>
    </w:p>
    <w:p xmlns:wp14="http://schemas.microsoft.com/office/word/2010/wordml" w:rsidP="5FA0E702" wp14:paraId="0563AB02" wp14:textId="3A1F7AB6">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Population growth in the region has been modest, increasing at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roughly 0.4 percent</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annually (HUD, 2024). This slow growth reflects both the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high cost</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of living and the limited availability of new housing units. Yet even modest growth has significant implications in a market where supply is structurally constrained. A peer-reviewed study by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Chiumenti</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and Sood (2022) shows that restrictive zoning across Greater Boston severely limits multifamily development, contributing to long-term underproduction of housing. Their analysis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demonstrates</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that even small policy reforms could meaningfully reduce rents—suggesting that the current market’s elevated pricing is not simply a function of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demand</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but a predictable consequence of regulatory decisions.</w:t>
      </w:r>
    </w:p>
    <w:p xmlns:wp14="http://schemas.microsoft.com/office/word/2010/wordml" w:rsidP="5FA0E702" wp14:paraId="71AB8AD9" wp14:textId="0E33DC61">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The regional context is further shaped by the persistence of hybrid and remote work arrangements, which continue to alter the geography of housing demand. Downtown office vacancies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remain</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elevated compared to pre-pandemic levels, with older office stock showing signs of obsolescence (Massachusetts Taxpayers Foundation, 2024). This shift affects not only the commercial market but also surrounding residential neighborhoods, increasing the appeal of suburban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living</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and changing the balance between core and peripheral submarkets.</w:t>
      </w:r>
    </w:p>
    <w:p xmlns:wp14="http://schemas.microsoft.com/office/word/2010/wordml" w:rsidP="5FA0E702" wp14:paraId="64CDEFFA" wp14:textId="798A53F5">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Taken together, these forces create a foundational tension: Boston’s economy supports continued investment, but the social and political environment constrains housing production, raising both barriers and opportunities for investors.</w:t>
      </w:r>
    </w:p>
    <w:p xmlns:wp14="http://schemas.microsoft.com/office/word/2010/wordml" w:rsidP="5FA0E702" wp14:paraId="6684BD52" wp14:textId="4447258F">
      <w:pPr>
        <w:rPr>
          <w:rFonts w:ascii="Times" w:hAnsi="Times" w:eastAsia="Times" w:cs="Times"/>
          <w:b w:val="0"/>
          <w:bCs w:val="0"/>
          <w:i w:val="0"/>
          <w:iCs w:val="0"/>
          <w:caps w:val="0"/>
          <w:smallCaps w:val="0"/>
          <w:noProof w:val="0"/>
          <w:color w:val="000000" w:themeColor="text1" w:themeTint="FF" w:themeShade="FF"/>
          <w:sz w:val="22"/>
          <w:szCs w:val="22"/>
          <w:lang w:val="en-US"/>
        </w:rPr>
      </w:pPr>
    </w:p>
    <w:p xmlns:wp14="http://schemas.microsoft.com/office/word/2010/wordml" w:rsidP="5FA0E702" wp14:paraId="79BE5633" wp14:textId="5636CD3F">
      <w:pPr>
        <w:pStyle w:val="Heading2"/>
        <w:keepNext w:val="1"/>
        <w:keepLines w:val="1"/>
        <w:spacing w:before="299" w:beforeAutospacing="off" w:after="299" w:afterAutospacing="off"/>
        <w:rPr>
          <w:rFonts w:ascii="Times" w:hAnsi="Times" w:eastAsia="Times" w:cs="Times"/>
          <w:b w:val="0"/>
          <w:bCs w:val="0"/>
          <w:i w:val="0"/>
          <w:iCs w:val="0"/>
          <w:caps w:val="0"/>
          <w:smallCaps w:val="0"/>
          <w:noProof w:val="0"/>
          <w:color w:val="0F4761" w:themeColor="accent1" w:themeTint="FF" w:themeShade="BF"/>
          <w:sz w:val="22"/>
          <w:szCs w:val="22"/>
          <w:lang w:val="en-US"/>
        </w:rPr>
      </w:pPr>
      <w:r w:rsidRPr="5FA0E702" w:rsidR="06D260DA">
        <w:rPr>
          <w:rFonts w:ascii="Times" w:hAnsi="Times" w:eastAsia="Times" w:cs="Times"/>
          <w:b w:val="1"/>
          <w:bCs w:val="1"/>
          <w:i w:val="0"/>
          <w:iCs w:val="0"/>
          <w:caps w:val="0"/>
          <w:smallCaps w:val="0"/>
          <w:noProof w:val="0"/>
          <w:color w:val="0F4761" w:themeColor="accent1" w:themeTint="FF" w:themeShade="BF"/>
          <w:sz w:val="22"/>
          <w:szCs w:val="22"/>
          <w:lang w:val="en-US"/>
        </w:rPr>
        <w:t>Supply, Demand, and Market Performance</w:t>
      </w:r>
    </w:p>
    <w:p xmlns:wp14="http://schemas.microsoft.com/office/word/2010/wordml" w:rsidP="5FA0E702" wp14:paraId="0D0265F0" wp14:textId="6577BA96">
      <w:pPr>
        <w:pStyle w:val="Heading3"/>
        <w:keepNext w:val="1"/>
        <w:keepLines w:val="1"/>
        <w:spacing w:before="281" w:beforeAutospacing="off" w:after="281" w:afterAutospacing="off"/>
        <w:rPr>
          <w:rFonts w:ascii="Times" w:hAnsi="Times" w:eastAsia="Times" w:cs="Times"/>
          <w:b w:val="0"/>
          <w:bCs w:val="0"/>
          <w:i w:val="0"/>
          <w:iCs w:val="0"/>
          <w:caps w:val="0"/>
          <w:smallCaps w:val="0"/>
          <w:noProof w:val="0"/>
          <w:color w:val="0F4761" w:themeColor="accent1" w:themeTint="FF" w:themeShade="BF"/>
          <w:sz w:val="22"/>
          <w:szCs w:val="22"/>
          <w:lang w:val="en-US"/>
        </w:rPr>
      </w:pPr>
      <w:r w:rsidRPr="5FA0E702" w:rsidR="06D260DA">
        <w:rPr>
          <w:rFonts w:ascii="Times" w:hAnsi="Times" w:eastAsia="Times" w:cs="Times"/>
          <w:b w:val="1"/>
          <w:bCs w:val="1"/>
          <w:i w:val="0"/>
          <w:iCs w:val="0"/>
          <w:caps w:val="0"/>
          <w:smallCaps w:val="0"/>
          <w:noProof w:val="0"/>
          <w:color w:val="0F4761" w:themeColor="accent1" w:themeTint="FF" w:themeShade="BF"/>
          <w:sz w:val="22"/>
          <w:szCs w:val="22"/>
          <w:lang w:val="en-US"/>
        </w:rPr>
        <w:t>Rental Market Dynamics</w:t>
      </w:r>
    </w:p>
    <w:p xmlns:wp14="http://schemas.microsoft.com/office/word/2010/wordml" w:rsidP="5FA0E702" wp14:paraId="5711881E" wp14:textId="1BDA7463">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Throughout 2024, the rental market in Greater Boston remained strong but more stable than during the explosive growth of the pandemic years. HUD (2024) reported average market rents of $2,879 in early 2024, an increase of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roughly 3 percent</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year over year. Vacancy reached 6.2 percent, higher than in prior years but still notably lower than many comparable metro areas. The moderate vacancy rate masks meaningful variation across submarkets: according to Colliers (2025), luxury Class A properties experienced higher vacancy—above 8 percent in some central districts—while Class B and workforce housing remained much tighter, with both absorption and rent growth exceeding the regional average.</w:t>
      </w:r>
    </w:p>
    <w:p xmlns:wp14="http://schemas.microsoft.com/office/word/2010/wordml" w:rsidP="5FA0E702" wp14:paraId="34305B73" wp14:textId="41C5078A">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This divergence reflects a deeper structural pattern. Developers have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predominantly delivered</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high-end units due to zoning limits, high construction costs, and the difficulty of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siting</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affordable or mid-range housing. As a result, mid-market demand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frequently</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exceeds supply, producing stronger rent resilience for these units even when higher-end supply faces saturation.</w:t>
      </w:r>
    </w:p>
    <w:p xmlns:wp14="http://schemas.microsoft.com/office/word/2010/wordml" w:rsidP="5FA0E702" wp14:paraId="2EE0258A" wp14:textId="22B060D4">
      <w:pPr>
        <w:pStyle w:val="Heading3"/>
        <w:keepNext w:val="1"/>
        <w:keepLines w:val="1"/>
        <w:spacing w:before="281" w:beforeAutospacing="off" w:after="281" w:afterAutospacing="off"/>
        <w:rPr>
          <w:rFonts w:ascii="Times" w:hAnsi="Times" w:eastAsia="Times" w:cs="Times"/>
          <w:b w:val="0"/>
          <w:bCs w:val="0"/>
          <w:i w:val="0"/>
          <w:iCs w:val="0"/>
          <w:caps w:val="0"/>
          <w:smallCaps w:val="0"/>
          <w:noProof w:val="0"/>
          <w:color w:val="0F4761" w:themeColor="accent1" w:themeTint="FF" w:themeShade="BF"/>
          <w:sz w:val="22"/>
          <w:szCs w:val="22"/>
          <w:lang w:val="en-US"/>
        </w:rPr>
      </w:pPr>
      <w:r w:rsidRPr="5FA0E702" w:rsidR="06D260DA">
        <w:rPr>
          <w:rFonts w:ascii="Times" w:hAnsi="Times" w:eastAsia="Times" w:cs="Times"/>
          <w:b w:val="1"/>
          <w:bCs w:val="1"/>
          <w:i w:val="0"/>
          <w:iCs w:val="0"/>
          <w:caps w:val="0"/>
          <w:smallCaps w:val="0"/>
          <w:noProof w:val="0"/>
          <w:color w:val="0F4761" w:themeColor="accent1" w:themeTint="FF" w:themeShade="BF"/>
          <w:sz w:val="22"/>
          <w:szCs w:val="22"/>
          <w:lang w:val="en-US"/>
        </w:rPr>
        <w:t>Owner-Occupied and Investment Markets</w:t>
      </w:r>
    </w:p>
    <w:p xmlns:wp14="http://schemas.microsoft.com/office/word/2010/wordml" w:rsidP="5FA0E702" wp14:paraId="4D481061" wp14:textId="7B924618">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The ownership market in 2024 remained defined by tight supply and constrained affordability. HUD (2024) noted that the regionwide housing inventory hovered at 1.5 months—far below the 4–6 months typically considered balanced. Median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existing-home</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prices reached approximately $824,600, reflecting a 4 percent increase from the previous year. Yet price appreciation, while positive, slowed from pandemic highs as 7-percent mortgage rates limited buyer mobility. Many homeowners with pre-2022 mortgage rates below 4 percent delayed listing, contributing to suppressed inventory and sustained price pressure.</w:t>
      </w:r>
    </w:p>
    <w:p xmlns:wp14="http://schemas.microsoft.com/office/word/2010/wordml" w:rsidP="5FA0E702" wp14:paraId="232D1B84" wp14:textId="2A585A95">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Investment activity, particularly in multifamily assets, remained robust despite higher borrowing costs. MMG Real Estate Advisors (2024) reported more than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$1.2 billion</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in multifamily transaction volume during the first half of the year, suggesting continued institutional confidence in the region’s long-term fundamentals. Still, high interest rates compress cap rates, reducing investor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margins</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and raising the importance of submarket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selection</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and asset type.</w:t>
      </w:r>
    </w:p>
    <w:p xmlns:wp14="http://schemas.microsoft.com/office/word/2010/wordml" w:rsidP="5FA0E702" wp14:paraId="567CE5C8" wp14:textId="3FD6EC8E">
      <w:pPr>
        <w:pStyle w:val="Heading3"/>
        <w:keepNext w:val="1"/>
        <w:keepLines w:val="1"/>
        <w:spacing w:before="281" w:beforeAutospacing="off" w:after="281" w:afterAutospacing="off"/>
        <w:rPr>
          <w:rFonts w:ascii="Times" w:hAnsi="Times" w:eastAsia="Times" w:cs="Times"/>
          <w:b w:val="0"/>
          <w:bCs w:val="0"/>
          <w:i w:val="0"/>
          <w:iCs w:val="0"/>
          <w:caps w:val="0"/>
          <w:smallCaps w:val="0"/>
          <w:noProof w:val="0"/>
          <w:color w:val="0F4761" w:themeColor="accent1" w:themeTint="FF" w:themeShade="BF"/>
          <w:sz w:val="22"/>
          <w:szCs w:val="22"/>
          <w:lang w:val="en-US"/>
        </w:rPr>
      </w:pPr>
      <w:r w:rsidRPr="5FA0E702" w:rsidR="06D260DA">
        <w:rPr>
          <w:rFonts w:ascii="Times" w:hAnsi="Times" w:eastAsia="Times" w:cs="Times"/>
          <w:b w:val="1"/>
          <w:bCs w:val="1"/>
          <w:i w:val="0"/>
          <w:iCs w:val="0"/>
          <w:caps w:val="0"/>
          <w:smallCaps w:val="0"/>
          <w:noProof w:val="0"/>
          <w:color w:val="0F4761" w:themeColor="accent1" w:themeTint="FF" w:themeShade="BF"/>
          <w:sz w:val="22"/>
          <w:szCs w:val="22"/>
          <w:lang w:val="en-US"/>
        </w:rPr>
        <w:t>Structural Supply Constraints</w:t>
      </w:r>
    </w:p>
    <w:p xmlns:wp14="http://schemas.microsoft.com/office/word/2010/wordml" w:rsidP="5FA0E702" wp14:paraId="7CFF643A" wp14:textId="4D940B57">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The foundational challenge in Greater Boston’s housing market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remains</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systemic underproduction. Restrictive zoning—especially single-family-exclusive districts—combined with complex permitting processes, community opposition, and high construction costs has limited both market-rate and affordable housing development.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Chiumenti</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and Sood (2022)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demonstrate</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that such restrictions significantly suppress housing elasticity, leading to chronically elevated rents and home prices.</w:t>
      </w:r>
    </w:p>
    <w:p xmlns:wp14="http://schemas.microsoft.com/office/word/2010/wordml" w:rsidP="5FA0E702" wp14:paraId="0225A6BC" wp14:textId="334DC6C2">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Moreover, the pipeline of new multifamily construction has already begun to shrink. MMG (2024)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observed</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that projected completions for 2024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represented</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the lowest new supply since 2016. For investors, diminished future supply could support long-term rent stability and appreciation but increases the risk of shortages that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exacerbate</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affordability crises and invite regulatory interventions.</w:t>
      </w:r>
    </w:p>
    <w:p xmlns:wp14="http://schemas.microsoft.com/office/word/2010/wordml" w:rsidP="5FA0E702" wp14:paraId="50B17F54" wp14:textId="7ED89CDB">
      <w:pPr>
        <w:rPr>
          <w:rFonts w:ascii="Times" w:hAnsi="Times" w:eastAsia="Times" w:cs="Times"/>
          <w:b w:val="0"/>
          <w:bCs w:val="0"/>
          <w:i w:val="0"/>
          <w:iCs w:val="0"/>
          <w:caps w:val="0"/>
          <w:smallCaps w:val="0"/>
          <w:noProof w:val="0"/>
          <w:color w:val="000000" w:themeColor="text1" w:themeTint="FF" w:themeShade="FF"/>
          <w:sz w:val="22"/>
          <w:szCs w:val="22"/>
          <w:lang w:val="en-US"/>
        </w:rPr>
      </w:pPr>
    </w:p>
    <w:p xmlns:wp14="http://schemas.microsoft.com/office/word/2010/wordml" w:rsidP="5FA0E702" wp14:paraId="603DC5DF" wp14:textId="267D7988">
      <w:pPr>
        <w:pStyle w:val="Heading2"/>
        <w:keepNext w:val="1"/>
        <w:keepLines w:val="1"/>
        <w:spacing w:before="299" w:beforeAutospacing="off" w:after="299" w:afterAutospacing="off"/>
        <w:rPr>
          <w:rFonts w:ascii="Times" w:hAnsi="Times" w:eastAsia="Times" w:cs="Times"/>
          <w:b w:val="0"/>
          <w:bCs w:val="0"/>
          <w:i w:val="0"/>
          <w:iCs w:val="0"/>
          <w:caps w:val="0"/>
          <w:smallCaps w:val="0"/>
          <w:noProof w:val="0"/>
          <w:color w:val="0F4761" w:themeColor="accent1" w:themeTint="FF" w:themeShade="BF"/>
          <w:sz w:val="22"/>
          <w:szCs w:val="22"/>
          <w:lang w:val="en-US"/>
        </w:rPr>
      </w:pPr>
      <w:r w:rsidRPr="5FA0E702" w:rsidR="06D260DA">
        <w:rPr>
          <w:rFonts w:ascii="Times" w:hAnsi="Times" w:eastAsia="Times" w:cs="Times"/>
          <w:b w:val="1"/>
          <w:bCs w:val="1"/>
          <w:i w:val="0"/>
          <w:iCs w:val="0"/>
          <w:caps w:val="0"/>
          <w:smallCaps w:val="0"/>
          <w:noProof w:val="0"/>
          <w:color w:val="0F4761" w:themeColor="accent1" w:themeTint="FF" w:themeShade="BF"/>
          <w:sz w:val="22"/>
          <w:szCs w:val="22"/>
          <w:lang w:val="en-US"/>
        </w:rPr>
        <w:t>Patterns and Themes Emerging in 2024</w:t>
      </w:r>
    </w:p>
    <w:p xmlns:wp14="http://schemas.microsoft.com/office/word/2010/wordml" w:rsidP="5FA0E702" wp14:paraId="632A32F1" wp14:textId="71DDEB38">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Across the data and literature, several patterns define the Boston market:</w:t>
      </w:r>
    </w:p>
    <w:p xmlns:wp14="http://schemas.microsoft.com/office/word/2010/wordml" w:rsidP="5FA0E702" wp14:paraId="216E27D1" wp14:textId="64EAA1E4">
      <w:pPr>
        <w:pStyle w:val="ListParagraph"/>
        <w:numPr>
          <w:ilvl w:val="0"/>
          <w:numId w:val="4"/>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1"/>
          <w:bCs w:val="1"/>
          <w:i w:val="0"/>
          <w:iCs w:val="0"/>
          <w:caps w:val="0"/>
          <w:smallCaps w:val="0"/>
          <w:noProof w:val="0"/>
          <w:color w:val="000000" w:themeColor="text1" w:themeTint="FF" w:themeShade="FF"/>
          <w:sz w:val="22"/>
          <w:szCs w:val="22"/>
          <w:lang w:val="en-US"/>
        </w:rPr>
        <w:t xml:space="preserve">Valuations </w:t>
      </w:r>
      <w:r w:rsidRPr="5FA0E702" w:rsidR="06D260DA">
        <w:rPr>
          <w:rFonts w:ascii="Times" w:hAnsi="Times" w:eastAsia="Times" w:cs="Times"/>
          <w:b w:val="1"/>
          <w:bCs w:val="1"/>
          <w:i w:val="0"/>
          <w:iCs w:val="0"/>
          <w:caps w:val="0"/>
          <w:smallCaps w:val="0"/>
          <w:noProof w:val="0"/>
          <w:color w:val="000000" w:themeColor="text1" w:themeTint="FF" w:themeShade="FF"/>
          <w:sz w:val="22"/>
          <w:szCs w:val="22"/>
          <w:lang w:val="en-US"/>
        </w:rPr>
        <w:t>remain</w:t>
      </w:r>
      <w:r w:rsidRPr="5FA0E702" w:rsidR="06D260DA">
        <w:rPr>
          <w:rFonts w:ascii="Times" w:hAnsi="Times" w:eastAsia="Times" w:cs="Times"/>
          <w:b w:val="1"/>
          <w:bCs w:val="1"/>
          <w:i w:val="0"/>
          <w:iCs w:val="0"/>
          <w:caps w:val="0"/>
          <w:smallCaps w:val="0"/>
          <w:noProof w:val="0"/>
          <w:color w:val="000000" w:themeColor="text1" w:themeTint="FF" w:themeShade="FF"/>
          <w:sz w:val="22"/>
          <w:szCs w:val="22"/>
          <w:lang w:val="en-US"/>
        </w:rPr>
        <w:t xml:space="preserve"> </w:t>
      </w:r>
      <w:r w:rsidRPr="5FA0E702" w:rsidR="06D260DA">
        <w:rPr>
          <w:rFonts w:ascii="Times" w:hAnsi="Times" w:eastAsia="Times" w:cs="Times"/>
          <w:b w:val="1"/>
          <w:bCs w:val="1"/>
          <w:i w:val="0"/>
          <w:iCs w:val="0"/>
          <w:caps w:val="0"/>
          <w:smallCaps w:val="0"/>
          <w:noProof w:val="0"/>
          <w:color w:val="000000" w:themeColor="text1" w:themeTint="FF" w:themeShade="FF"/>
          <w:sz w:val="22"/>
          <w:szCs w:val="22"/>
          <w:lang w:val="en-US"/>
        </w:rPr>
        <w:t>high</w:t>
      </w:r>
      <w:r w:rsidRPr="5FA0E702" w:rsidR="06D260DA">
        <w:rPr>
          <w:rFonts w:ascii="Times" w:hAnsi="Times" w:eastAsia="Times" w:cs="Times"/>
          <w:b w:val="1"/>
          <w:bCs w:val="1"/>
          <w:i w:val="0"/>
          <w:iCs w:val="0"/>
          <w:caps w:val="0"/>
          <w:smallCaps w:val="0"/>
          <w:noProof w:val="0"/>
          <w:color w:val="000000" w:themeColor="text1" w:themeTint="FF" w:themeShade="FF"/>
          <w:sz w:val="22"/>
          <w:szCs w:val="22"/>
          <w:lang w:val="en-US"/>
        </w:rPr>
        <w:t xml:space="preserve"> but growth is moderating.</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Rent and pricing trends suggest stability, not rapid escalation.</w:t>
      </w:r>
    </w:p>
    <w:p xmlns:wp14="http://schemas.microsoft.com/office/word/2010/wordml" w:rsidP="5FA0E702" wp14:paraId="2B4A4A04" wp14:textId="0796B406">
      <w:pPr>
        <w:pStyle w:val="ListParagraph"/>
        <w:numPr>
          <w:ilvl w:val="0"/>
          <w:numId w:val="4"/>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1"/>
          <w:bCs w:val="1"/>
          <w:i w:val="0"/>
          <w:iCs w:val="0"/>
          <w:caps w:val="0"/>
          <w:smallCaps w:val="0"/>
          <w:noProof w:val="0"/>
          <w:color w:val="000000" w:themeColor="text1" w:themeTint="FF" w:themeShade="FF"/>
          <w:sz w:val="22"/>
          <w:szCs w:val="22"/>
          <w:lang w:val="en-US"/>
        </w:rPr>
        <w:t xml:space="preserve">Class B and workforce housing outperform luxury </w:t>
      </w:r>
      <w:r w:rsidRPr="5FA0E702" w:rsidR="06D260DA">
        <w:rPr>
          <w:rFonts w:ascii="Times" w:hAnsi="Times" w:eastAsia="Times" w:cs="Times"/>
          <w:b w:val="1"/>
          <w:bCs w:val="1"/>
          <w:i w:val="0"/>
          <w:iCs w:val="0"/>
          <w:caps w:val="0"/>
          <w:smallCaps w:val="0"/>
          <w:noProof w:val="0"/>
          <w:color w:val="000000" w:themeColor="text1" w:themeTint="FF" w:themeShade="FF"/>
          <w:sz w:val="22"/>
          <w:szCs w:val="22"/>
          <w:lang w:val="en-US"/>
        </w:rPr>
        <w:t>supply</w:t>
      </w:r>
      <w:r w:rsidRPr="5FA0E702" w:rsidR="06D260DA">
        <w:rPr>
          <w:rFonts w:ascii="Times" w:hAnsi="Times" w:eastAsia="Times" w:cs="Times"/>
          <w:b w:val="1"/>
          <w:bCs w:val="1"/>
          <w:i w:val="0"/>
          <w:iCs w:val="0"/>
          <w:caps w:val="0"/>
          <w:smallCaps w:val="0"/>
          <w:noProof w:val="0"/>
          <w:color w:val="000000" w:themeColor="text1" w:themeTint="FF" w:themeShade="FF"/>
          <w:sz w:val="22"/>
          <w:szCs w:val="22"/>
          <w:lang w:val="en-US"/>
        </w:rPr>
        <w:t>.</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This trend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represents</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a structural feature of the market rather than a temporary cycle.</w:t>
      </w:r>
    </w:p>
    <w:p xmlns:wp14="http://schemas.microsoft.com/office/word/2010/wordml" w:rsidP="5FA0E702" wp14:paraId="18345A7E" wp14:textId="450DE414">
      <w:pPr>
        <w:pStyle w:val="ListParagraph"/>
        <w:numPr>
          <w:ilvl w:val="0"/>
          <w:numId w:val="4"/>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1"/>
          <w:bCs w:val="1"/>
          <w:i w:val="0"/>
          <w:iCs w:val="0"/>
          <w:caps w:val="0"/>
          <w:smallCaps w:val="0"/>
          <w:noProof w:val="0"/>
          <w:color w:val="000000" w:themeColor="text1" w:themeTint="FF" w:themeShade="FF"/>
          <w:sz w:val="22"/>
          <w:szCs w:val="22"/>
          <w:lang w:val="en-US"/>
        </w:rPr>
        <w:t>Institutional capital continues to favor multifamily investments.</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High transaction volumes suggest confidence in long-term demand.</w:t>
      </w:r>
    </w:p>
    <w:p xmlns:wp14="http://schemas.microsoft.com/office/word/2010/wordml" w:rsidP="5FA0E702" wp14:paraId="50AF5BB8" wp14:textId="3D6E6285">
      <w:pPr>
        <w:pStyle w:val="ListParagraph"/>
        <w:numPr>
          <w:ilvl w:val="0"/>
          <w:numId w:val="4"/>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1"/>
          <w:bCs w:val="1"/>
          <w:i w:val="0"/>
          <w:iCs w:val="0"/>
          <w:caps w:val="0"/>
          <w:smallCaps w:val="0"/>
          <w:noProof w:val="0"/>
          <w:color w:val="000000" w:themeColor="text1" w:themeTint="FF" w:themeShade="FF"/>
          <w:sz w:val="22"/>
          <w:szCs w:val="22"/>
          <w:lang w:val="en-US"/>
        </w:rPr>
        <w:t>Hybrid work reshapes spatial demand.</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Suburban markets near transit nodes show stronger-than-expected rent growth.</w:t>
      </w:r>
    </w:p>
    <w:p xmlns:wp14="http://schemas.microsoft.com/office/word/2010/wordml" w:rsidP="5FA0E702" wp14:paraId="4E3A482D" wp14:textId="539ABF9C">
      <w:pPr>
        <w:pStyle w:val="ListParagraph"/>
        <w:numPr>
          <w:ilvl w:val="0"/>
          <w:numId w:val="4"/>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1"/>
          <w:bCs w:val="1"/>
          <w:i w:val="0"/>
          <w:iCs w:val="0"/>
          <w:caps w:val="0"/>
          <w:smallCaps w:val="0"/>
          <w:noProof w:val="0"/>
          <w:color w:val="000000" w:themeColor="text1" w:themeTint="FF" w:themeShade="FF"/>
          <w:sz w:val="22"/>
          <w:szCs w:val="22"/>
          <w:lang w:val="en-US"/>
        </w:rPr>
        <w:t>Regulatory constraints limit supply responsiveness.</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Zoning reform—or lack thereof—</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remains</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one of the most decisive variables shaping market outcomes.</w:t>
      </w:r>
    </w:p>
    <w:p xmlns:wp14="http://schemas.microsoft.com/office/word/2010/wordml" w:rsidP="5FA0E702" wp14:paraId="0FEEFB6B" wp14:textId="5AC218CD">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These patterns form the basis for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identifying</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the strongest opportunities within the region.</w:t>
      </w:r>
    </w:p>
    <w:p xmlns:wp14="http://schemas.microsoft.com/office/word/2010/wordml" w:rsidP="5FA0E702" wp14:paraId="53223975" wp14:textId="0FDE8BEB">
      <w:pPr>
        <w:rPr>
          <w:rFonts w:ascii="Times" w:hAnsi="Times" w:eastAsia="Times" w:cs="Times"/>
          <w:b w:val="0"/>
          <w:bCs w:val="0"/>
          <w:i w:val="0"/>
          <w:iCs w:val="0"/>
          <w:caps w:val="0"/>
          <w:smallCaps w:val="0"/>
          <w:noProof w:val="0"/>
          <w:color w:val="000000" w:themeColor="text1" w:themeTint="FF" w:themeShade="FF"/>
          <w:sz w:val="22"/>
          <w:szCs w:val="22"/>
          <w:lang w:val="en-US"/>
        </w:rPr>
      </w:pPr>
    </w:p>
    <w:p xmlns:wp14="http://schemas.microsoft.com/office/word/2010/wordml" w:rsidP="5FA0E702" wp14:paraId="69CA1038" wp14:textId="02D01D4C">
      <w:pPr>
        <w:pStyle w:val="Heading2"/>
        <w:keepNext w:val="1"/>
        <w:keepLines w:val="1"/>
        <w:spacing w:before="299" w:beforeAutospacing="off" w:after="299" w:afterAutospacing="off"/>
        <w:rPr>
          <w:rFonts w:ascii="Times" w:hAnsi="Times" w:eastAsia="Times" w:cs="Times"/>
          <w:b w:val="0"/>
          <w:bCs w:val="0"/>
          <w:i w:val="0"/>
          <w:iCs w:val="0"/>
          <w:caps w:val="0"/>
          <w:smallCaps w:val="0"/>
          <w:noProof w:val="0"/>
          <w:color w:val="0F4761" w:themeColor="accent1" w:themeTint="FF" w:themeShade="BF"/>
          <w:sz w:val="22"/>
          <w:szCs w:val="22"/>
          <w:lang w:val="en-US"/>
        </w:rPr>
      </w:pPr>
      <w:r w:rsidRPr="5FA0E702" w:rsidR="06D260DA">
        <w:rPr>
          <w:rFonts w:ascii="Times" w:hAnsi="Times" w:eastAsia="Times" w:cs="Times"/>
          <w:b w:val="1"/>
          <w:bCs w:val="1"/>
          <w:i w:val="0"/>
          <w:iCs w:val="0"/>
          <w:caps w:val="0"/>
          <w:smallCaps w:val="0"/>
          <w:noProof w:val="0"/>
          <w:color w:val="0F4761" w:themeColor="accent1" w:themeTint="FF" w:themeShade="BF"/>
          <w:sz w:val="22"/>
          <w:szCs w:val="22"/>
          <w:lang w:val="en-US"/>
        </w:rPr>
        <w:t>Investment Opportunities in 2024</w:t>
      </w:r>
    </w:p>
    <w:p xmlns:wp14="http://schemas.microsoft.com/office/word/2010/wordml" w:rsidP="5FA0E702" wp14:paraId="7D72BD25" wp14:textId="79F11476">
      <w:pPr>
        <w:pStyle w:val="Heading3"/>
        <w:keepNext w:val="1"/>
        <w:keepLines w:val="1"/>
        <w:spacing w:before="281" w:beforeAutospacing="off" w:after="281" w:afterAutospacing="off"/>
        <w:rPr>
          <w:rFonts w:ascii="Times" w:hAnsi="Times" w:eastAsia="Times" w:cs="Times"/>
          <w:b w:val="0"/>
          <w:bCs w:val="0"/>
          <w:i w:val="0"/>
          <w:iCs w:val="0"/>
          <w:caps w:val="0"/>
          <w:smallCaps w:val="0"/>
          <w:noProof w:val="0"/>
          <w:color w:val="0F4761" w:themeColor="accent1" w:themeTint="FF" w:themeShade="BF"/>
          <w:sz w:val="22"/>
          <w:szCs w:val="22"/>
          <w:lang w:val="en-US"/>
        </w:rPr>
      </w:pPr>
      <w:r w:rsidRPr="5FA0E702" w:rsidR="06D260DA">
        <w:rPr>
          <w:rFonts w:ascii="Times" w:hAnsi="Times" w:eastAsia="Times" w:cs="Times"/>
          <w:b w:val="1"/>
          <w:bCs w:val="1"/>
          <w:i w:val="0"/>
          <w:iCs w:val="0"/>
          <w:caps w:val="0"/>
          <w:smallCaps w:val="0"/>
          <w:noProof w:val="0"/>
          <w:color w:val="0F4761" w:themeColor="accent1" w:themeTint="FF" w:themeShade="BF"/>
          <w:sz w:val="22"/>
          <w:szCs w:val="22"/>
          <w:lang w:val="en-US"/>
        </w:rPr>
        <w:t>1. Workforce and Mid-Market Multifamily Housing</w:t>
      </w:r>
    </w:p>
    <w:p xmlns:wp14="http://schemas.microsoft.com/office/word/2010/wordml" w:rsidP="5FA0E702" wp14:paraId="65C5E7B8" wp14:textId="01FEE868">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The most compelling investment opportunities lie in Class B/C buildings and workforce housing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located</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near transit-accessible suburban employment centers such as Quincy, Medford, Malden, and Randolph. These segments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benefit</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from persistent demand,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relatively low</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 </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vacancy</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and insufficient new supply. Unlike Class A units—where competition from new luxury developments can weaken pricing—workforce housing offers more durable cash flows and stronger rent stability.</w:t>
      </w:r>
    </w:p>
    <w:p xmlns:wp14="http://schemas.microsoft.com/office/word/2010/wordml" w:rsidP="5FA0E702" wp14:paraId="60CECFDE" wp14:textId="68BEAB6A">
      <w:pPr>
        <w:pStyle w:val="Heading3"/>
        <w:keepNext w:val="1"/>
        <w:keepLines w:val="1"/>
        <w:spacing w:before="281" w:beforeAutospacing="off" w:after="281" w:afterAutospacing="off"/>
        <w:rPr>
          <w:rFonts w:ascii="Times" w:hAnsi="Times" w:eastAsia="Times" w:cs="Times"/>
          <w:b w:val="0"/>
          <w:bCs w:val="0"/>
          <w:i w:val="0"/>
          <w:iCs w:val="0"/>
          <w:caps w:val="0"/>
          <w:smallCaps w:val="0"/>
          <w:noProof w:val="0"/>
          <w:color w:val="0F4761" w:themeColor="accent1" w:themeTint="FF" w:themeShade="BF"/>
          <w:sz w:val="22"/>
          <w:szCs w:val="22"/>
          <w:lang w:val="en-US"/>
        </w:rPr>
      </w:pPr>
      <w:r w:rsidRPr="5FA0E702" w:rsidR="06D260DA">
        <w:rPr>
          <w:rFonts w:ascii="Times" w:hAnsi="Times" w:eastAsia="Times" w:cs="Times"/>
          <w:b w:val="1"/>
          <w:bCs w:val="1"/>
          <w:i w:val="0"/>
          <w:iCs w:val="0"/>
          <w:caps w:val="0"/>
          <w:smallCaps w:val="0"/>
          <w:noProof w:val="0"/>
          <w:color w:val="0F4761" w:themeColor="accent1" w:themeTint="FF" w:themeShade="BF"/>
          <w:sz w:val="22"/>
          <w:szCs w:val="22"/>
          <w:lang w:val="en-US"/>
        </w:rPr>
        <w:t>2. Adaptive Reuse and Office-to-Residential Conversion</w:t>
      </w:r>
    </w:p>
    <w:p xmlns:wp14="http://schemas.microsoft.com/office/word/2010/wordml" w:rsidP="5FA0E702" wp14:paraId="0997C200" wp14:textId="27876704">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Changes in work patterns present opportunities for repositioning underutilized office buildings. As reported by the Massachusetts Taxpayers Foundation (2024), aging Class B/C office stock in downtown Boston faces declining demand. Investors with experience navigating zoning, structural retrofits, and public-private partnerships may successfully convert such assets into residential units. While this strategy carries entitlement and cost risk, it aligns with city priorities to address housing shortages and revitalize underperforming downtown corridors.</w:t>
      </w:r>
    </w:p>
    <w:p xmlns:wp14="http://schemas.microsoft.com/office/word/2010/wordml" w:rsidP="5FA0E702" wp14:paraId="256C68A4" wp14:textId="7483A7C5">
      <w:pPr>
        <w:pStyle w:val="Heading3"/>
        <w:keepNext w:val="1"/>
        <w:keepLines w:val="1"/>
        <w:spacing w:before="281" w:beforeAutospacing="off" w:after="281" w:afterAutospacing="off"/>
        <w:rPr>
          <w:rFonts w:ascii="Times" w:hAnsi="Times" w:eastAsia="Times" w:cs="Times"/>
          <w:b w:val="0"/>
          <w:bCs w:val="0"/>
          <w:i w:val="0"/>
          <w:iCs w:val="0"/>
          <w:caps w:val="0"/>
          <w:smallCaps w:val="0"/>
          <w:noProof w:val="0"/>
          <w:color w:val="0F4761" w:themeColor="accent1" w:themeTint="FF" w:themeShade="BF"/>
          <w:sz w:val="22"/>
          <w:szCs w:val="22"/>
          <w:lang w:val="en-US"/>
        </w:rPr>
      </w:pPr>
      <w:r w:rsidRPr="5FA0E702" w:rsidR="06D260DA">
        <w:rPr>
          <w:rFonts w:ascii="Times" w:hAnsi="Times" w:eastAsia="Times" w:cs="Times"/>
          <w:b w:val="1"/>
          <w:bCs w:val="1"/>
          <w:i w:val="0"/>
          <w:iCs w:val="0"/>
          <w:caps w:val="0"/>
          <w:smallCaps w:val="0"/>
          <w:noProof w:val="0"/>
          <w:color w:val="0F4761" w:themeColor="accent1" w:themeTint="FF" w:themeShade="BF"/>
          <w:sz w:val="22"/>
          <w:szCs w:val="22"/>
          <w:lang w:val="en-US"/>
        </w:rPr>
        <w:t>3. Suburban Single-Family and Townhome Rentals</w:t>
      </w:r>
    </w:p>
    <w:p xmlns:wp14="http://schemas.microsoft.com/office/word/2010/wordml" w:rsidP="5FA0E702" wp14:paraId="07CC0475" wp14:textId="61F6ED1E">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With remote and hybrid work normalizing, demand for suburban rentals has increased. HUD (2024) notes rising interest in markets within Plymouth County and outer Middlesex County, where families seek more space without committing to mortgage rates exceeding 7 percent. Build-to-rent communities or portfolios of townhome rentals present growth opportunities, especially in areas with MBTA or commuter rail access.</w:t>
      </w:r>
    </w:p>
    <w:p xmlns:wp14="http://schemas.microsoft.com/office/word/2010/wordml" w:rsidP="5FA0E702" wp14:paraId="5F18C0DF" wp14:textId="72025857">
      <w:pPr>
        <w:rPr>
          <w:rFonts w:ascii="Times" w:hAnsi="Times" w:eastAsia="Times" w:cs="Times"/>
          <w:b w:val="0"/>
          <w:bCs w:val="0"/>
          <w:i w:val="0"/>
          <w:iCs w:val="0"/>
          <w:caps w:val="0"/>
          <w:smallCaps w:val="0"/>
          <w:noProof w:val="0"/>
          <w:color w:val="000000" w:themeColor="text1" w:themeTint="FF" w:themeShade="FF"/>
          <w:sz w:val="22"/>
          <w:szCs w:val="22"/>
          <w:lang w:val="en-US"/>
        </w:rPr>
      </w:pPr>
    </w:p>
    <w:p xmlns:wp14="http://schemas.microsoft.com/office/word/2010/wordml" w:rsidP="5FA0E702" wp14:paraId="28943482" wp14:textId="286FFE03">
      <w:pPr>
        <w:pStyle w:val="Heading2"/>
        <w:keepNext w:val="1"/>
        <w:keepLines w:val="1"/>
        <w:spacing w:before="299" w:beforeAutospacing="off" w:after="299" w:afterAutospacing="off"/>
        <w:rPr>
          <w:rFonts w:ascii="Times" w:hAnsi="Times" w:eastAsia="Times" w:cs="Times"/>
          <w:b w:val="0"/>
          <w:bCs w:val="0"/>
          <w:i w:val="0"/>
          <w:iCs w:val="0"/>
          <w:caps w:val="0"/>
          <w:smallCaps w:val="0"/>
          <w:noProof w:val="0"/>
          <w:color w:val="0F4761" w:themeColor="accent1" w:themeTint="FF" w:themeShade="BF"/>
          <w:sz w:val="22"/>
          <w:szCs w:val="22"/>
          <w:lang w:val="en-US"/>
        </w:rPr>
      </w:pPr>
      <w:r w:rsidRPr="5FA0E702" w:rsidR="06D260DA">
        <w:rPr>
          <w:rFonts w:ascii="Times" w:hAnsi="Times" w:eastAsia="Times" w:cs="Times"/>
          <w:b w:val="1"/>
          <w:bCs w:val="1"/>
          <w:i w:val="0"/>
          <w:iCs w:val="0"/>
          <w:caps w:val="0"/>
          <w:smallCaps w:val="0"/>
          <w:noProof w:val="0"/>
          <w:color w:val="0F4761" w:themeColor="accent1" w:themeTint="FF" w:themeShade="BF"/>
          <w:sz w:val="22"/>
          <w:szCs w:val="22"/>
          <w:lang w:val="en-US"/>
        </w:rPr>
        <w:t>Evaluating Context, Assumptions, and Competing Viewpoints</w:t>
      </w:r>
    </w:p>
    <w:p xmlns:wp14="http://schemas.microsoft.com/office/word/2010/wordml" w:rsidP="5FA0E702" wp14:paraId="6FD39B5E" wp14:textId="4480C72A">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Critical evaluation requires examining not only the data but also the assumptions driving expert conclusions. Many analyses assume that Boston’s economic strength will continue to shield it from national housing volatility. Yet such confidence may obscure vulnerabilities. High income concentration in knowledge sectors has historically insulated the region, but reliance on these industries also creates exposure to downturns in biotech or higher education. Similarly, assumptions that supply will remain constrained fail to account for potential shifts in political pressure that could lead to meaningful zoning reform.</w:t>
      </w:r>
    </w:p>
    <w:p xmlns:wp14="http://schemas.microsoft.com/office/word/2010/wordml" w:rsidP="5FA0E702" wp14:paraId="196A7404" wp14:textId="7D25562E">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Furthermore, while many economic reports argue that high mortgage rates suppress demand, others suggest that rate cycles historically normalize within a few years, making long-term pessimism unwarranted (Shampine, 2024). Investors must therefore balance short-term headwinds with long-term expectations of economic recalibration.</w:t>
      </w:r>
    </w:p>
    <w:p xmlns:wp14="http://schemas.microsoft.com/office/word/2010/wordml" w:rsidP="5FA0E702" wp14:paraId="32C3DDF1" wp14:textId="51B97533">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Conversely, some experts presume that remote work permanently reduces demand for urban living, yet recent studies from major metropolitan areas show stabilization in downtown rental demand as amenities reopen and cultural life resumes. These competing interpretations underscore the need for investors to base strategies on scenario planning rather than fixed assumptions.</w:t>
      </w:r>
    </w:p>
    <w:p xmlns:wp14="http://schemas.microsoft.com/office/word/2010/wordml" w:rsidP="5FA0E702" wp14:paraId="4A7B8855" wp14:textId="3E3017CE">
      <w:pPr>
        <w:rPr>
          <w:rFonts w:ascii="Times" w:hAnsi="Times" w:eastAsia="Times" w:cs="Times"/>
          <w:b w:val="0"/>
          <w:bCs w:val="0"/>
          <w:i w:val="0"/>
          <w:iCs w:val="0"/>
          <w:caps w:val="0"/>
          <w:smallCaps w:val="0"/>
          <w:noProof w:val="0"/>
          <w:color w:val="000000" w:themeColor="text1" w:themeTint="FF" w:themeShade="FF"/>
          <w:sz w:val="22"/>
          <w:szCs w:val="22"/>
          <w:lang w:val="en-US"/>
        </w:rPr>
      </w:pPr>
    </w:p>
    <w:p xmlns:wp14="http://schemas.microsoft.com/office/word/2010/wordml" w:rsidP="5FA0E702" wp14:paraId="090752F6" wp14:textId="0A2BE4AE">
      <w:pPr>
        <w:pStyle w:val="Heading2"/>
        <w:keepNext w:val="1"/>
        <w:keepLines w:val="1"/>
        <w:spacing w:before="299" w:beforeAutospacing="off" w:after="299" w:afterAutospacing="off"/>
        <w:rPr>
          <w:rFonts w:ascii="Times" w:hAnsi="Times" w:eastAsia="Times" w:cs="Times"/>
          <w:b w:val="0"/>
          <w:bCs w:val="0"/>
          <w:i w:val="0"/>
          <w:iCs w:val="0"/>
          <w:caps w:val="0"/>
          <w:smallCaps w:val="0"/>
          <w:noProof w:val="0"/>
          <w:color w:val="0F4761" w:themeColor="accent1" w:themeTint="FF" w:themeShade="BF"/>
          <w:sz w:val="22"/>
          <w:szCs w:val="22"/>
          <w:lang w:val="en-US"/>
        </w:rPr>
      </w:pPr>
      <w:r w:rsidRPr="5FA0E702" w:rsidR="06D260DA">
        <w:rPr>
          <w:rFonts w:ascii="Times" w:hAnsi="Times" w:eastAsia="Times" w:cs="Times"/>
          <w:b w:val="1"/>
          <w:bCs w:val="1"/>
          <w:i w:val="0"/>
          <w:iCs w:val="0"/>
          <w:caps w:val="0"/>
          <w:smallCaps w:val="0"/>
          <w:noProof w:val="0"/>
          <w:color w:val="0F4761" w:themeColor="accent1" w:themeTint="FF" w:themeShade="BF"/>
          <w:sz w:val="22"/>
          <w:szCs w:val="22"/>
          <w:lang w:val="en-US"/>
        </w:rPr>
        <w:t>Synthesis and Position</w:t>
      </w:r>
    </w:p>
    <w:p xmlns:wp14="http://schemas.microsoft.com/office/word/2010/wordml" w:rsidP="5FA0E702" wp14:paraId="61CC1231" wp14:textId="4813DE52">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Given the evidence, the most plausible investment thesis is that </w:t>
      </w:r>
      <w:r w:rsidRPr="5FA0E702" w:rsidR="06D260DA">
        <w:rPr>
          <w:rFonts w:ascii="Times" w:hAnsi="Times" w:eastAsia="Times" w:cs="Times"/>
          <w:b w:val="1"/>
          <w:bCs w:val="1"/>
          <w:i w:val="0"/>
          <w:iCs w:val="0"/>
          <w:caps w:val="0"/>
          <w:smallCaps w:val="0"/>
          <w:noProof w:val="0"/>
          <w:color w:val="000000" w:themeColor="text1" w:themeTint="FF" w:themeShade="FF"/>
          <w:sz w:val="22"/>
          <w:szCs w:val="22"/>
          <w:lang w:val="en-US"/>
        </w:rPr>
        <w:t>Boston’s real estate market offers stable long-term opportunities, particularly in workforce multifamily housing, adaptive reuse conversions, and suburban rental homes</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but investors must be prepared for regulatory disruption, macroeconomic uncertainty, and possible shifts in demand patterns.</w:t>
      </w:r>
    </w:p>
    <w:p xmlns:wp14="http://schemas.microsoft.com/office/word/2010/wordml" w:rsidP="5FA0E702" wp14:paraId="15D162F0" wp14:textId="00F71DC6">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This position acknowledges multiple perspectives: the economic strength supporting demand, the regulatory constraints limiting supply, the affordability pressures shaping political risk, and the shifting geography of housing preferences. It also recognizes the limits of forecasting in an environment influenced by national interest rate policy, local zoning decisions, and demographic changes.</w:t>
      </w:r>
    </w:p>
    <w:p xmlns:wp14="http://schemas.microsoft.com/office/word/2010/wordml" w:rsidP="5FA0E702" wp14:paraId="2EC4A68A" wp14:textId="75D3CA13">
      <w:pPr>
        <w:rPr>
          <w:rFonts w:ascii="Times" w:hAnsi="Times" w:eastAsia="Times" w:cs="Times"/>
          <w:b w:val="0"/>
          <w:bCs w:val="0"/>
          <w:i w:val="0"/>
          <w:iCs w:val="0"/>
          <w:caps w:val="0"/>
          <w:smallCaps w:val="0"/>
          <w:noProof w:val="0"/>
          <w:color w:val="000000" w:themeColor="text1" w:themeTint="FF" w:themeShade="FF"/>
          <w:sz w:val="22"/>
          <w:szCs w:val="22"/>
          <w:lang w:val="en-US"/>
        </w:rPr>
      </w:pPr>
    </w:p>
    <w:p xmlns:wp14="http://schemas.microsoft.com/office/word/2010/wordml" w:rsidP="5FA0E702" wp14:paraId="0DBB4B09" wp14:textId="442ED013">
      <w:pPr>
        <w:pStyle w:val="Heading2"/>
        <w:keepNext w:val="1"/>
        <w:keepLines w:val="1"/>
        <w:spacing w:before="299" w:beforeAutospacing="off" w:after="299" w:afterAutospacing="off"/>
        <w:rPr>
          <w:rFonts w:ascii="Times" w:hAnsi="Times" w:eastAsia="Times" w:cs="Times"/>
          <w:b w:val="0"/>
          <w:bCs w:val="0"/>
          <w:i w:val="0"/>
          <w:iCs w:val="0"/>
          <w:caps w:val="0"/>
          <w:smallCaps w:val="0"/>
          <w:noProof w:val="0"/>
          <w:color w:val="0F4761" w:themeColor="accent1" w:themeTint="FF" w:themeShade="BF"/>
          <w:sz w:val="22"/>
          <w:szCs w:val="22"/>
          <w:lang w:val="en-US"/>
        </w:rPr>
      </w:pPr>
      <w:r w:rsidRPr="5FA0E702" w:rsidR="06D260DA">
        <w:rPr>
          <w:rFonts w:ascii="Times" w:hAnsi="Times" w:eastAsia="Times" w:cs="Times"/>
          <w:b w:val="1"/>
          <w:bCs w:val="1"/>
          <w:i w:val="0"/>
          <w:iCs w:val="0"/>
          <w:caps w:val="0"/>
          <w:smallCaps w:val="0"/>
          <w:noProof w:val="0"/>
          <w:color w:val="0F4761" w:themeColor="accent1" w:themeTint="FF" w:themeShade="BF"/>
          <w:sz w:val="22"/>
          <w:szCs w:val="22"/>
          <w:lang w:val="en-US"/>
        </w:rPr>
        <w:t>Conclusions and Implications</w:t>
      </w:r>
    </w:p>
    <w:p xmlns:wp14="http://schemas.microsoft.com/office/word/2010/wordml" w:rsidP="5FA0E702" wp14:paraId="3C396DB8" wp14:textId="5C465B67">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The 2024 Boston real estate market reflects a balance of opportunity and caution. While the region continues to benefit from strong economic fundamentals and constrained supply, investors must recognize the increasing role of affordability politics, high financing costs, and evolving spatial preferences. The implications are multifold:</w:t>
      </w:r>
    </w:p>
    <w:p xmlns:wp14="http://schemas.microsoft.com/office/word/2010/wordml" w:rsidP="5FA0E702" wp14:paraId="5ED5EA1A" wp14:textId="7C7EB96A">
      <w:pPr>
        <w:pStyle w:val="ListParagraph"/>
        <w:numPr>
          <w:ilvl w:val="0"/>
          <w:numId w:val="5"/>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1"/>
          <w:bCs w:val="1"/>
          <w:i w:val="0"/>
          <w:iCs w:val="0"/>
          <w:caps w:val="0"/>
          <w:smallCaps w:val="0"/>
          <w:noProof w:val="0"/>
          <w:color w:val="000000" w:themeColor="text1" w:themeTint="FF" w:themeShade="FF"/>
          <w:sz w:val="22"/>
          <w:szCs w:val="22"/>
          <w:lang w:val="en-US"/>
        </w:rPr>
        <w:t>Mid-market rental housing should continue to yield stable returns</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supported by chronic undersupply.</w:t>
      </w:r>
    </w:p>
    <w:p xmlns:wp14="http://schemas.microsoft.com/office/word/2010/wordml" w:rsidP="5FA0E702" wp14:paraId="2BB36AF1" wp14:textId="2B99C6E6">
      <w:pPr>
        <w:pStyle w:val="ListParagraph"/>
        <w:numPr>
          <w:ilvl w:val="0"/>
          <w:numId w:val="5"/>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1"/>
          <w:bCs w:val="1"/>
          <w:i w:val="0"/>
          <w:iCs w:val="0"/>
          <w:caps w:val="0"/>
          <w:smallCaps w:val="0"/>
          <w:noProof w:val="0"/>
          <w:color w:val="000000" w:themeColor="text1" w:themeTint="FF" w:themeShade="FF"/>
          <w:sz w:val="22"/>
          <w:szCs w:val="22"/>
          <w:lang w:val="en-US"/>
        </w:rPr>
        <w:t>Adaptive reuse projects have potential</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but their success depends on policy support and structural feasibility.</w:t>
      </w:r>
    </w:p>
    <w:p xmlns:wp14="http://schemas.microsoft.com/office/word/2010/wordml" w:rsidP="5FA0E702" wp14:paraId="093494C8" wp14:textId="0A087882">
      <w:pPr>
        <w:pStyle w:val="ListParagraph"/>
        <w:numPr>
          <w:ilvl w:val="0"/>
          <w:numId w:val="5"/>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1"/>
          <w:bCs w:val="1"/>
          <w:i w:val="0"/>
          <w:iCs w:val="0"/>
          <w:caps w:val="0"/>
          <w:smallCaps w:val="0"/>
          <w:noProof w:val="0"/>
          <w:color w:val="000000" w:themeColor="text1" w:themeTint="FF" w:themeShade="FF"/>
          <w:sz w:val="22"/>
          <w:szCs w:val="22"/>
          <w:lang w:val="en-US"/>
        </w:rPr>
        <w:t>Suburban rental markets will grow</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particularly if mortgage rates remain elevated and hybrid work persists.</w:t>
      </w:r>
    </w:p>
    <w:p xmlns:wp14="http://schemas.microsoft.com/office/word/2010/wordml" w:rsidP="5FA0E702" wp14:paraId="73381FC9" wp14:textId="498CC12D">
      <w:pPr>
        <w:pStyle w:val="ListParagraph"/>
        <w:numPr>
          <w:ilvl w:val="0"/>
          <w:numId w:val="5"/>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1"/>
          <w:bCs w:val="1"/>
          <w:i w:val="0"/>
          <w:iCs w:val="0"/>
          <w:caps w:val="0"/>
          <w:smallCaps w:val="0"/>
          <w:noProof w:val="0"/>
          <w:color w:val="000000" w:themeColor="text1" w:themeTint="FF" w:themeShade="FF"/>
          <w:sz w:val="22"/>
          <w:szCs w:val="22"/>
          <w:lang w:val="en-US"/>
        </w:rPr>
        <w:t>Regulatory shifts represent both the greatest threat and opportunity</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depending on whether zoning reforms expand development or affordability mandates curb profitability.</w:t>
      </w:r>
    </w:p>
    <w:p xmlns:wp14="http://schemas.microsoft.com/office/word/2010/wordml" w:rsidP="5FA0E702" wp14:paraId="2E83F7B8" wp14:textId="6E943D63">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Placing these outcomes in priority, the most consequential factor for future market conditions remains land-use regulation. Should Greater Boston adopt reforms enabling multifamily development, long-term pricing pressures may ease. If not, constrained supply will continue to define the region’s real estate landscape.</w:t>
      </w:r>
    </w:p>
    <w:p xmlns:wp14="http://schemas.microsoft.com/office/word/2010/wordml" w:rsidP="5FA0E702" wp14:paraId="091FD7F4" wp14:textId="2E40554E">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In conclusion, Boston remains a resilient and strategically favorable region for real estate investment, but success depends on selecting asset types aligned with structural market realities and anticipating the long-range consequences of demographic, regulatory, and economic trends.</w:t>
      </w:r>
    </w:p>
    <w:p xmlns:wp14="http://schemas.microsoft.com/office/word/2010/wordml" w:rsidP="5FA0E702" wp14:paraId="39B9AB8A" wp14:textId="01EFF720">
      <w:pPr>
        <w:rPr>
          <w:rFonts w:ascii="Times" w:hAnsi="Times" w:eastAsia="Times" w:cs="Times"/>
          <w:b w:val="0"/>
          <w:bCs w:val="0"/>
          <w:i w:val="0"/>
          <w:iCs w:val="0"/>
          <w:caps w:val="0"/>
          <w:smallCaps w:val="0"/>
          <w:noProof w:val="0"/>
          <w:color w:val="000000" w:themeColor="text1" w:themeTint="FF" w:themeShade="FF"/>
          <w:sz w:val="22"/>
          <w:szCs w:val="22"/>
          <w:lang w:val="en-US"/>
        </w:rPr>
      </w:pPr>
    </w:p>
    <w:p xmlns:wp14="http://schemas.microsoft.com/office/word/2010/wordml" w:rsidP="5FA0E702" wp14:paraId="320B6194" wp14:textId="1F115958">
      <w:pPr>
        <w:pStyle w:val="Heading2"/>
        <w:keepNext w:val="1"/>
        <w:keepLines w:val="1"/>
        <w:spacing w:before="299" w:beforeAutospacing="off" w:after="299" w:afterAutospacing="off"/>
        <w:rPr>
          <w:rFonts w:ascii="Times" w:hAnsi="Times" w:eastAsia="Times" w:cs="Times"/>
          <w:b w:val="0"/>
          <w:bCs w:val="0"/>
          <w:i w:val="0"/>
          <w:iCs w:val="0"/>
          <w:caps w:val="0"/>
          <w:smallCaps w:val="0"/>
          <w:noProof w:val="0"/>
          <w:color w:val="0F4761" w:themeColor="accent1" w:themeTint="FF" w:themeShade="BF"/>
          <w:sz w:val="22"/>
          <w:szCs w:val="22"/>
          <w:lang w:val="en-US"/>
        </w:rPr>
      </w:pPr>
      <w:r w:rsidRPr="5FA0E702" w:rsidR="06D260DA">
        <w:rPr>
          <w:rFonts w:ascii="Times" w:hAnsi="Times" w:eastAsia="Times" w:cs="Times"/>
          <w:b w:val="1"/>
          <w:bCs w:val="1"/>
          <w:i w:val="0"/>
          <w:iCs w:val="0"/>
          <w:caps w:val="0"/>
          <w:smallCaps w:val="0"/>
          <w:noProof w:val="0"/>
          <w:color w:val="0F4761" w:themeColor="accent1" w:themeTint="FF" w:themeShade="BF"/>
          <w:sz w:val="22"/>
          <w:szCs w:val="22"/>
          <w:lang w:val="en-US"/>
        </w:rPr>
        <w:t>References</w:t>
      </w:r>
    </w:p>
    <w:p xmlns:wp14="http://schemas.microsoft.com/office/word/2010/wordml" w:rsidP="5FA0E702" wp14:paraId="590DA855" wp14:textId="642B0F8D">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Chiumenti, N., &amp; Sood, A. (2022). </w:t>
      </w:r>
      <w:r w:rsidRPr="5FA0E702" w:rsidR="06D260DA">
        <w:rPr>
          <w:rFonts w:ascii="Times" w:hAnsi="Times" w:eastAsia="Times" w:cs="Times"/>
          <w:b w:val="0"/>
          <w:bCs w:val="0"/>
          <w:i w:val="1"/>
          <w:iCs w:val="1"/>
          <w:caps w:val="0"/>
          <w:smallCaps w:val="0"/>
          <w:noProof w:val="0"/>
          <w:color w:val="000000" w:themeColor="text1" w:themeTint="FF" w:themeShade="FF"/>
          <w:sz w:val="22"/>
          <w:szCs w:val="22"/>
          <w:lang w:val="en-US"/>
        </w:rPr>
        <w:t>Local Zoning Laws and the Supply of Multifamily Housing in Greater Boston</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Federal Reserve Bank of Boston.</w:t>
      </w:r>
    </w:p>
    <w:p xmlns:wp14="http://schemas.microsoft.com/office/word/2010/wordml" w:rsidP="5FA0E702" wp14:paraId="51E1D214" wp14:textId="276B11EB">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Colliers. (2025). </w:t>
      </w:r>
      <w:r w:rsidRPr="5FA0E702" w:rsidR="06D260DA">
        <w:rPr>
          <w:rFonts w:ascii="Times" w:hAnsi="Times" w:eastAsia="Times" w:cs="Times"/>
          <w:b w:val="0"/>
          <w:bCs w:val="0"/>
          <w:i w:val="1"/>
          <w:iCs w:val="1"/>
          <w:caps w:val="0"/>
          <w:smallCaps w:val="0"/>
          <w:noProof w:val="0"/>
          <w:color w:val="000000" w:themeColor="text1" w:themeTint="FF" w:themeShade="FF"/>
          <w:sz w:val="22"/>
          <w:szCs w:val="22"/>
          <w:lang w:val="en-US"/>
        </w:rPr>
        <w:t>Greater Boston Multifamily Market Report</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w:t>
      </w:r>
    </w:p>
    <w:p xmlns:wp14="http://schemas.microsoft.com/office/word/2010/wordml" w:rsidP="5FA0E702" wp14:paraId="1A668CBB" wp14:textId="62224282">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HUD. (2024). </w:t>
      </w:r>
      <w:r w:rsidRPr="5FA0E702" w:rsidR="06D260DA">
        <w:rPr>
          <w:rFonts w:ascii="Times" w:hAnsi="Times" w:eastAsia="Times" w:cs="Times"/>
          <w:b w:val="0"/>
          <w:bCs w:val="0"/>
          <w:i w:val="1"/>
          <w:iCs w:val="1"/>
          <w:caps w:val="0"/>
          <w:smallCaps w:val="0"/>
          <w:noProof w:val="0"/>
          <w:color w:val="000000" w:themeColor="text1" w:themeTint="FF" w:themeShade="FF"/>
          <w:sz w:val="22"/>
          <w:szCs w:val="22"/>
          <w:lang w:val="en-US"/>
        </w:rPr>
        <w:t>Comprehensive Housing Market Analysis: Boston, Massachusetts</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w:t>
      </w:r>
    </w:p>
    <w:p xmlns:wp14="http://schemas.microsoft.com/office/word/2010/wordml" w:rsidP="5FA0E702" wp14:paraId="48517530" wp14:textId="16943055">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Massachusetts Taxpayers Foundation. (2024). </w:t>
      </w:r>
      <w:r w:rsidRPr="5FA0E702" w:rsidR="06D260DA">
        <w:rPr>
          <w:rFonts w:ascii="Times" w:hAnsi="Times" w:eastAsia="Times" w:cs="Times"/>
          <w:b w:val="0"/>
          <w:bCs w:val="0"/>
          <w:i w:val="1"/>
          <w:iCs w:val="1"/>
          <w:caps w:val="0"/>
          <w:smallCaps w:val="0"/>
          <w:noProof w:val="0"/>
          <w:color w:val="000000" w:themeColor="text1" w:themeTint="FF" w:themeShade="FF"/>
          <w:sz w:val="22"/>
          <w:szCs w:val="22"/>
          <w:lang w:val="en-US"/>
        </w:rPr>
        <w:t>The Future of Downtown Real Estate in Massachusetts</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w:t>
      </w:r>
    </w:p>
    <w:p xmlns:wp14="http://schemas.microsoft.com/office/word/2010/wordml" w:rsidP="5FA0E702" wp14:paraId="38B12012" wp14:textId="70598637">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2"/>
          <w:szCs w:val="22"/>
          <w:lang w:val="en-US"/>
        </w:rPr>
      </w:pP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xml:space="preserve">Shampine, S. (2024). </w:t>
      </w:r>
      <w:r w:rsidRPr="5FA0E702" w:rsidR="06D260DA">
        <w:rPr>
          <w:rFonts w:ascii="Times" w:hAnsi="Times" w:eastAsia="Times" w:cs="Times"/>
          <w:b w:val="0"/>
          <w:bCs w:val="0"/>
          <w:i w:val="1"/>
          <w:iCs w:val="1"/>
          <w:caps w:val="0"/>
          <w:smallCaps w:val="0"/>
          <w:noProof w:val="0"/>
          <w:color w:val="000000" w:themeColor="text1" w:themeTint="FF" w:themeShade="FF"/>
          <w:sz w:val="22"/>
          <w:szCs w:val="22"/>
          <w:lang w:val="en-US"/>
        </w:rPr>
        <w:t>New England’s Housing Markets: Supply and Demand Factors Affecting Prices</w:t>
      </w:r>
      <w:r w:rsidRPr="5FA0E702" w:rsidR="06D260DA">
        <w:rPr>
          <w:rFonts w:ascii="Times" w:hAnsi="Times" w:eastAsia="Times" w:cs="Times"/>
          <w:b w:val="0"/>
          <w:bCs w:val="0"/>
          <w:i w:val="0"/>
          <w:iCs w:val="0"/>
          <w:caps w:val="0"/>
          <w:smallCaps w:val="0"/>
          <w:noProof w:val="0"/>
          <w:color w:val="000000" w:themeColor="text1" w:themeTint="FF" w:themeShade="FF"/>
          <w:sz w:val="22"/>
          <w:szCs w:val="22"/>
          <w:lang w:val="en-US"/>
        </w:rPr>
        <w:t>. Federal Reserve Bank of Boston.</w:t>
      </w:r>
    </w:p>
    <w:p xmlns:wp14="http://schemas.microsoft.com/office/word/2010/wordml" w:rsidP="5FA0E702" wp14:paraId="2C078E63" wp14:textId="1F61FEF7">
      <w:pPr>
        <w:rPr>
          <w:rFonts w:ascii="Times" w:hAnsi="Times" w:eastAsia="Times" w:cs="Times"/>
          <w:sz w:val="22"/>
          <w:szCs w:val="2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839e72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c53068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b1e69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4aab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fd503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186E62"/>
    <w:rsid w:val="06D260DA"/>
    <w:rsid w:val="0EF5AD76"/>
    <w:rsid w:val="10D0A61C"/>
    <w:rsid w:val="1E64E77F"/>
    <w:rsid w:val="2007BEB3"/>
    <w:rsid w:val="37186E62"/>
    <w:rsid w:val="44B9A228"/>
    <w:rsid w:val="58536B1C"/>
    <w:rsid w:val="5FA0E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86E62"/>
  <w15:chartTrackingRefBased/>
  <w15:docId w15:val="{84F8EBC0-3345-4DC0-94D0-B4901A7D3E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4B9A22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44B9A22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4B9A228"/>
    <w:pPr>
      <w:spacing/>
      <w:ind w:left="720"/>
      <w:contextualSpacing/>
    </w:pPr>
  </w:style>
  <w:style w:type="character" w:styleId="Hyperlink">
    <w:uiPriority w:val="99"/>
    <w:name w:val="Hyperlink"/>
    <w:basedOn w:val="DefaultParagraphFont"/>
    <w:unhideWhenUsed/>
    <w:rsid w:val="44B9A22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5FA0E70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15247b9bc3540e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2025-11-03T16:23:13.5337689Z</dcterms:created>
  <dcterms:modified xsi:type="dcterms:W3CDTF">2025-11-23T18:05:46.1853976Z</dcterms:modified>
  <dc:creator>HuuThanhVy Nguyen</dc:creator>
  <lastModifiedBy>HuuThanhVy Nguyen</lastModifiedBy>
</coreProperties>
</file>