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34504F4" w:rsidP="1763F82B" w:rsidRDefault="034504F4" w14:paraId="20C5C561" w14:textId="4A310B5D">
      <w:pPr>
        <w:pStyle w:val="Heading1"/>
        <w:keepNext w:val="1"/>
        <w:keepLines w:val="1"/>
        <w:spacing w:before="322" w:beforeAutospacing="off" w:after="322"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1763F82B" w:rsidR="034504F4">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Boston Metropolitan Area Real Estate Investment Market Analysis 2024: A Critical Examination</w:t>
      </w:r>
    </w:p>
    <w:p w:rsidR="034504F4" w:rsidP="1763F82B" w:rsidRDefault="034504F4" w14:paraId="6574D0D6" w14:textId="6DDE3456">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1763F82B" w:rsidR="034504F4">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Executive Summary and Analytical Framework</w:t>
      </w:r>
    </w:p>
    <w:p w:rsidR="034504F4" w:rsidP="1763F82B" w:rsidRDefault="034504F4" w14:paraId="699E8877" w14:textId="25414F3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Boston Metropolitan Area real estate market in 2024 presents a paradox: robust price appreciation amid declining transaction volumes, creating both opportunity and risk for investors. This analysis examines the $3.7 billion multifamily market, 6.13% annual price appreciation, and 39.01% five-year cumulative gains through a critical lens that questions conventional optimism. Rather than accepting surface-level bullishness, this essay interrogates the sustainability of current valuations, challenges assumptions underlying investment theses, and synthesizes competing perspectives to reveal a more nuanced investment landscape. The central thesis—that Boston offers compelling opportunities for disciplined investors despite elevated valuations—requires explicit acknowledgment of conditions under which this position fails: prolonged interest rates above 8%, sustained remote work reducing urban demand, or major employer relocations could fundamentally invalidate bullish projections.</w:t>
      </w:r>
    </w:p>
    <w:p w:rsidR="034504F4" w:rsidP="1763F82B" w:rsidRDefault="034504F4" w14:paraId="4500E2F0" w14:textId="3DA81316">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1763F82B" w:rsidR="034504F4">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Market Dynamics: Reconciling Contradictory Signals</w:t>
      </w:r>
    </w:p>
    <w:p w:rsidR="034504F4" w:rsidP="1763F82B" w:rsidRDefault="034504F4" w14:paraId="37D7F773" w14:textId="7541789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Boston's 2024 market defies simple characterization. The median sale price reached $871,267 by March, representing 9.54% year-over-year growth and approaching the April 2022 peak of $876,091. Yet transaction volume declined 10.62% from 2023 and 33.75% from 2022, revealing a frozen market where price appreciation masks fundamental dysfunction. This disconnect demands critical examination rather than facile acceptance. Traditional metropolitan housing price theory suggests population growth, real income changes, construction costs, and interest rates jointly determine pricing dynamics (Jud &amp; Winkler, 2002). However, Jud and Winkler's framework, developed using pre-2000 data, may inadequately account for post-pandemic structural changes, particularly remote work's destabilizing effects on traditional urban hierarchies.</w:t>
      </w:r>
    </w:p>
    <w:p w:rsidR="034504F4" w:rsidP="1763F82B" w:rsidRDefault="034504F4" w14:paraId="164213B2" w14:textId="259F9E4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Recent research demonstrates that remote work explained over half the 18.9% increase in U.S. real house prices from 2019 to 2023, with each additional percentage point of remote work causing a 0.92% increase in house prices (Mondragon &amp; Wieland, 2022). This finding fundamentally challenges assumptions about Boston's sustainable price trajectory. If remote work permanently reduces demand for urban density while increasing preferences for suburban space, Boston's supply-constrained urban core may face structural headwinds rather than tailwinds. The contradiction between Jud and Winkler's traditional framework emphasizing urban agglomeration benefits and Mondragon and Wieland's evidence of remote work dispersing demand creates analytical tension requiring synthesis rather than selective citation.</w:t>
      </w:r>
    </w:p>
    <w:p w:rsidR="034504F4" w:rsidP="1763F82B" w:rsidRDefault="034504F4" w14:paraId="2C58853F" w14:textId="13CF0CF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inventory crisis—only 1,162 listings in March 2024, down 4.2% year-over-year—appears initially to support bullish narratives through simple supply-demand dynamics. However, this interpretation assumes demand remains constant, an assumption increasingly questionable given emerging evidence. While Boston's population reached 629,842 in 2024, this represents a decline from 2020 census figures, contradicting assumptions of inexorable urban growth. Population projections suggesting renewed growth rest on assumptions about job market strength and urban attractiveness that remote work trends actively undermine. The tension between demographic headwinds and supply constraints creates ambiguity that simplistic bullish or bearish narratives fail to capture.</w:t>
      </w:r>
    </w:p>
    <w:p w:rsidR="034504F4" w:rsidP="1763F82B" w:rsidRDefault="034504F4" w14:paraId="791A33DD" w14:textId="410154F8">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1763F82B" w:rsidR="034504F4">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Multifamily Sector: Navigating Uncertainty Through Critical Assessment</w:t>
      </w:r>
    </w:p>
    <w:p w:rsidR="034504F4" w:rsidP="1763F82B" w:rsidRDefault="034504F4" w14:paraId="0F1B311F" w14:textId="1CCD8AF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multifamily sector recorded $3.7 billion in transactions above $5 million across 93 deals, demonstrating institutional confidence despite higher borrowing costs. Yet this statistic requires contextualization against historical trends and cap rate expansion reflecting yield requirement adjustments. Average price per unit declined from peak years, indicating that sophisticated investors already priced in structural challenges. The anticipated construction pipeline slowdown—with 2024 completions totaling approximately 7,000 units, the smallest since 2016—suggests favorable supply dynamics for existing property owners. However, this optimistic interpretation assumes demand remains robust rather than contracting alongside remote work adoption and urban population declines.</w:t>
      </w:r>
    </w:p>
    <w:p w:rsidR="034504F4" w:rsidP="1763F82B" w:rsidRDefault="034504F4" w14:paraId="203C4DF9" w14:textId="17F2779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rental market's apparent strength—median rent of $2,209 monthly, with Cambridge commanding $2,950—must be evaluated critically. These figures represent 3.4% year-over-year growth, suggesting healthy fundamentals. Yet vacancy rates at 2.7% may reflect artificial scarcity created by homeownership barriers rather than genuine housing demand. Research on housing market expectations demonstrates that investor sentiment strongly reflects recently observed price changes, locally observed trends, and social network information (Kuchler &amp; Zafar, 2022). This creates potential for self-reinforcing optimism disconnected from fundamentals. Kuchler and Zafar's research, while methodologically sound, primarily examines homeowner expectations rather than rental investor calculations, limiting its direct applicability to multifamily investment analysis.</w:t>
      </w:r>
    </w:p>
    <w:p w:rsidR="034504F4" w:rsidP="1763F82B" w:rsidRDefault="034504F4" w14:paraId="29063DF8" w14:textId="06C5CC1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critical question for multifamily investors becomes: does current pricing adequately compensate for structural uncertainty? If remote work proves 60% permanent rather than 36% as 2021 expert surveys suggested, Boston's rental demand could contract more severely than current pricing reflects. Alternatively, if universities and hospitals—Boston's anchoring institutions—continue attracting talent requiring urban housing, supply constraints may indeed create sustained upward pressure on rents and values. The investment thesis thus depends critically on assumptions about remote work persistence, educational institution stability, and urban amenity preferences—assumptions this analysis makes explicit rather than implicit.</w:t>
      </w:r>
    </w:p>
    <w:p w:rsidR="034504F4" w:rsidP="1763F82B" w:rsidRDefault="034504F4" w14:paraId="2605F7B3" w14:textId="7C828472">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1763F82B" w:rsidR="034504F4">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Geographic Analysis: Emerging Neighborhoods Versus Established Districts</w:t>
      </w:r>
    </w:p>
    <w:p w:rsidR="034504F4" w:rsidP="1763F82B" w:rsidRDefault="034504F4" w14:paraId="7312B3A2" w14:textId="5F9619B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Boston's neighborhood-level dynamics reveal geographic differentiation demanding nuanced assessment. Established premium districts—Beacon Hill, Back Bay, Cambridge, Seaport—maintained median prices per square foot around $675, with specific submarkets substantially higher. Competition remained intense, with single-family homes selling at 103.4% of list price and condominiums at 100.6%, indicating persistent bidding wars. This premium district strength suggests high-net-worth buyers remain insensitive to interest rate fluctuations, consistent with wealth concentration trends and intergenerational wealth transfer dynamics.</w:t>
      </w:r>
    </w:p>
    <w:p w:rsidR="034504F4" w:rsidP="1763F82B" w:rsidRDefault="034504F4" w14:paraId="10A378EB" w14:textId="52227C8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Emerging neighborhoods—particularly East Boston and Dorchester—attracted value-oriented investors through improving infrastructure, waterfront redevelopment, and institutional interest. East Boston's new mid-rise developments and zoning incentives created apparent opportunity. However, emerging neighborhood investment theses rest on gentrification assumptions that merit skepticism. Research on urban agglomeration demonstrates that proximity effects to higher-tiered urban centers generally create positive growth for nearby areas under 250,000 people (Partridge et al., 2009). Yet Partridge and colleagues' framework assumes stable urban hierarchies that remote work disrupts. If downtown Boston's gravitational pull weakens as employment disperses, emerging neighborhoods predicated on proximity advantages may underperform expectations.</w:t>
      </w:r>
    </w:p>
    <w:p w:rsidR="034504F4" w:rsidP="1763F82B" w:rsidRDefault="034504F4" w14:paraId="1685FBE4" w14:textId="19D42A3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Between 2009 and 2019, Boston's median home prices increased 66%, but this historical appreciation occurred during an era of accelerating urbanization and pre-remote-work employment concentration. Extrapolating past performance into fundamentally altered conditions represents precisely the backward-looking expectation formation that Kuchler and Zafar identify as problematic. A more sophisticated approach recognizes that emerging neighborhood investment requires either: genuine belief in continued urban core strength despite remote work trends, or conviction that these neighborhoods develop autonomous amenity advantages independent of downtown proximity. Making these assumptions explicit reveals that emerging neighborhood opportunities depend on resolving broader questions about urban futures.</w:t>
      </w:r>
    </w:p>
    <w:p w:rsidR="034504F4" w:rsidP="1763F82B" w:rsidRDefault="034504F4" w14:paraId="1254C05C" w14:textId="1090CFE4">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1763F82B" w:rsidR="034504F4">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Economic Fundamentals: Strength Amid Structural Transformation</w:t>
      </w:r>
    </w:p>
    <w:p w:rsidR="034504F4" w:rsidP="1763F82B" w:rsidRDefault="034504F4" w14:paraId="5789689F" w14:textId="35BCA50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Boston's economic foundation—prestigious universities, world-class hospitals, technology and biotechnology sectors—creates genuine competitive advantages supporting real estate demand. The 2.9% unemployment rate significantly below national averages indicates economic vitality. The metropolitan area's 80% share of Massachusetts' four million residents provides demographic scale supporting housing markets. However, these strengths require evaluation against emerging vulnerabilities. Research on geographic determinants of housing supply demonstrates that regulatory constraints and land availability limitations create location-specific price premiums (Saiz, 2010). Boston exemplifies these dynamics through stringent zoning and geographic constraints.</w:t>
      </w:r>
    </w:p>
    <w:p w:rsidR="034504F4" w:rsidP="1763F82B" w:rsidRDefault="034504F4" w14:paraId="389154C3" w14:textId="501AAE4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Yet Saiz's framework, while explaining price persistence given supply inelasticity, cannot address demand-side structural shifts. If remote work reduces demand for Boston's specific location while maintaining demand for education and healthcare services deliverable from alternative geographies, supply constraints alone cannot prevent price adjustments. The COVID-19 pandemic demonstrated that prestigious universities can operate remotely, biotechnology research increasingly occurs in distributed networks, and technology work location-independence precisely enables remote arrangements undermining urban concentration.</w:t>
      </w:r>
    </w:p>
    <w:p w:rsidR="034504F4" w:rsidP="1763F82B" w:rsidRDefault="034504F4" w14:paraId="372E9ADC" w14:textId="0491497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$72 trillion intergenerational wealth transfer supporting luxury segment demand provides genuine support but concentrates benefits in premium districts rather than middle-market segments. This wealth concentration potentially bifurcates Boston's market: resilient high-end supported by intergenerational wealth versus vulnerable middle-market facing affordability constraints and remote work pressures. Investment strategies thus require explicit positioning along this spectrum rather than assuming uniform market strength.</w:t>
      </w:r>
    </w:p>
    <w:p w:rsidR="034504F4" w:rsidP="1763F82B" w:rsidRDefault="034504F4" w14:paraId="13BD53BA" w14:textId="32337249">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1763F82B" w:rsidR="034504F4">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Critical Assumptions and Analytical Limitations</w:t>
      </w:r>
    </w:p>
    <w:p w:rsidR="034504F4" w:rsidP="1763F82B" w:rsidRDefault="034504F4" w14:paraId="0EF984D9" w14:textId="706AC27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analysis rests on several explicit assumptions requiring acknowledgment. First, I assume Boston's educational and medical institutions maintain current scale and prestige, an assumption threatened by declining international student enrollment, online education competition, and healthcare industry transformation. Second, I assume remote work stabilizes near current levels rather than continuing to increase, despite evidence suggesting ongoing adoption. Third, I assume no major economic recession during the 2024-2026 horizon, an assumption increasingly questioned by inverted yield curves and elevated inflation. Fourth, I assume no major regulatory changes affecting housing supply or tenant protections, despite active policy debates around rent control and zoning reform.</w:t>
      </w:r>
    </w:p>
    <w:p w:rsidR="034504F4" w:rsidP="1763F82B" w:rsidRDefault="034504F4" w14:paraId="19366E9B" w14:textId="78B6915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If these assumptions prove incorrect, the investment thesis fundamentally changes. Specifically: if remote work increases to 50% of knowledge work, urban rental demand could decline 15-20%, overwhelming supply constraints through demand destruction; if major universities reduce physical presence by 30%, student housing demand collapses; if recession generates 6%+ unemployment, housing demand contracts across all segments; if aggressive zoning reforms add 15,000+ units annually, supply constraints ease rapidly, pressuring prices downward.</w:t>
      </w:r>
    </w:p>
    <w:p w:rsidR="034504F4" w:rsidP="1763F82B" w:rsidRDefault="034504F4" w14:paraId="3B394201" w14:textId="4937FDC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Furthermore, this analysis acknowledges methodological limitations. Data availability constrains comprehensive assessment of transaction-level details, investor composition, and financing structures. Academic research cited, while peer-reviewed, reflects pre-publication understanding that subsequent research may challenge or refine. The two-year lag between most recent peer-reviewed publications and current market conditions creates analytical gaps. Market predictions rest on probabilistic reasoning under uncertainty rather than deterministic projections, requiring epistemic humility about forecast limitations.</w:t>
      </w:r>
    </w:p>
    <w:p w:rsidR="034504F4" w:rsidP="1763F82B" w:rsidRDefault="034504F4" w14:paraId="52AA29E3" w14:textId="1A2B88BD">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1763F82B" w:rsidR="034504F4">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Synthesis: Navigating Investment Paradox Through Disciplined Strategy</w:t>
      </w:r>
    </w:p>
    <w:p w:rsidR="034504F4" w:rsidP="1763F82B" w:rsidRDefault="034504F4" w14:paraId="3132F2CA" w14:textId="7A3BC83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Synthesizing competing perspectives reveals Boston's 2024 market as neither unambiguously attractive nor clearly overvalued but rather contingent on investor-specific circumstances and assumptions. The bullish case emphasizes supply constraints, strong economic fundamentals, institutional quality, and demographic support. The bearish case highlights remote work disruption, population decline, elevated valuations relative to historical norms, and vulnerability to interest rate persistence. Both perspectives contain validity, suggesting investment decisions require explicit positioning regarding which factors dominate.</w:t>
      </w:r>
    </w:p>
    <w:p w:rsidR="034504F4" w:rsidP="1763F82B" w:rsidRDefault="034504F4" w14:paraId="7C62EDA1" w14:textId="6CA3E4C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For multifamily investors with 10+ year horizons, capacity to weather short-term volatility, and conviction regarding Boston's long-term institutional strength, current market conditions offer potential entry points as cap rates have expanded from peak compression. However, investors must explicitly assume remote work proves less disruptive than evidence suggests and that supply constraints overwhelm demand softening. For emerging neighborhood value-add investors, opportunities exist only if urban core strength persists and gentrification trends continue despite demographic headwinds. Premium district investors may find relative safety through wealth concentration and international buyer demand, though absolute returns may disappoint versus historical appreciation.</w:t>
      </w:r>
    </w:p>
    <w:p w:rsidR="034504F4" w:rsidP="1763F82B" w:rsidRDefault="034504F4" w14:paraId="39026DDB" w14:textId="2AD84E3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synthesis recognizes that investment success requires not universal market strength but rather specific conditions aligning with investor positioning. Rather than proclaiming Boston universally attractive or overvalued, disciplined analysis identifies contingent opportunities requiring explicit risk acknowledgment. The key insight emerges not from resolving contradictions through forced consensus but from maintaining analytical tension reflecting genuine market ambiguity.</w:t>
      </w:r>
    </w:p>
    <w:p w:rsidR="034504F4" w:rsidP="1763F82B" w:rsidRDefault="034504F4" w14:paraId="2CCD60EB" w14:textId="3DA5DA0E">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1763F82B" w:rsidR="034504F4">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Strategic Recommendations: Context-Dependent Positioning</w:t>
      </w:r>
    </w:p>
    <w:p w:rsidR="034504F4" w:rsidP="1763F82B" w:rsidRDefault="034504F4" w14:paraId="681BF512" w14:textId="5493F09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Recommendations necessarily vary by investor profile rather than offering universal guidance. </w:t>
      </w:r>
      <w:r w:rsidRPr="1763F82B" w:rsidR="034504F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For institutional investors</w:t>
      </w: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 scale and patient capital: pursue value-add multifamily in submarkets benefiting from infrastructure investment, explicitly sizing positions assuming 20-30% downside scenarios while targeting 10-12% unlevered IRRs. </w:t>
      </w:r>
      <w:r w:rsidRPr="1763F82B" w:rsidR="034504F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For individual investors</w:t>
      </w: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seeking cash flow: prioritize smaller multifamily near hospitals and universities where employment remains location-dependent, underwriting conservatively with 15%+ cash-on-cash return requirements compensating for risk. </w:t>
      </w:r>
      <w:r w:rsidRPr="1763F82B" w:rsidR="034504F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For value-add specialists</w:t>
      </w: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focus on emerging neighborhoods only with clear exit strategies within 5-7 years, recognizing that gentrification assumptions may not materialize. </w:t>
      </w:r>
      <w:r w:rsidRPr="1763F82B" w:rsidR="034504F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For luxury-focused investors</w:t>
      </w: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premium districts offer relative downside protection through wealth concentration but limited upside given current valuations.</w:t>
      </w:r>
    </w:p>
    <w:p w:rsidR="034504F4" w:rsidP="1763F82B" w:rsidRDefault="034504F4" w14:paraId="6010F9BB" w14:textId="4BA77A5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All strategies require active risk management including: financing structures limiting interest rate exposure, asset selection prioritizing properties with multiple demand sources rather than single-use dependence, portfolio diversification across neighborhood types hedging structural uncertainty, and continuous monitoring of remote work trends, employment data, and demographic patterns enabling rapid strategy adjustment. The critical recommendation emphasizes that Boston investment success in 2024 requires moving beyond binary bullish/bearish frameworks toward contingent positioning acknowledging specific assumptions and limits.</w:t>
      </w:r>
    </w:p>
    <w:p w:rsidR="034504F4" w:rsidP="1763F82B" w:rsidRDefault="034504F4" w14:paraId="6EB19DAF" w14:textId="1671DC24">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1763F82B" w:rsidR="034504F4">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Conclusion: Embracing Analytical Complexity</w:t>
      </w:r>
    </w:p>
    <w:p w:rsidR="034504F4" w:rsidP="1763F82B" w:rsidRDefault="034504F4" w14:paraId="783836DA" w14:textId="5C4219E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Boston Metropolitan Area real estate investment market in 2024 defies simplistic characterization, exhibiting contradictory signals that superficial analysis obscures. The $3.7 billion multifamily transaction volume and 6.13% price appreciation coexist with transaction volume declines and population losses, creating interpretive challenges. This analysis explicitly acknowledges these contradictions rather than resolving them artificially through selective emphasis. The investment thesis—that disciplined investors can identify opportunities despite elevated valuations and structural uncertainty—succeeds only under specific conditions: remote work stabilization rather than acceleration, institutional sector resilience, no major recession, and sustained supply constraints.</w:t>
      </w:r>
    </w:p>
    <w:p w:rsidR="034504F4" w:rsidP="1763F82B" w:rsidRDefault="034504F4" w14:paraId="42E7CC72" w14:textId="5C955F7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analysis makes explicit assumptions frequently implicit in real estate analysis: that past patterns predict future outcomes, that current trends persist, that fundamental institutional strengths override cyclical pressures. By articulating these assumptions and conditions under which they fail, the analysis provides framework for investor decision-making recognizing contingency rather than certainty. The limits of this position center on inability to resolve fundamental tensions between traditional urban economics emphasizing agglomeration benefits and emerging evidence of remote work dispersing demand.</w:t>
      </w:r>
    </w:p>
    <w:p w:rsidR="034504F4" w:rsidP="1763F82B" w:rsidRDefault="034504F4" w14:paraId="0672FA03" w14:textId="7A08EA3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Best investment opportunities emerge not from universal market strength but from specific alignments between investor capabilities and market segments: multifamily near employment anchors, emerging neighborhoods for those accepting gentrification risk with appropriate return compensation, premium districts for downside-minimization strategies accepting limited upside. The significant patterns observed—supply constraint persistence, rental market competition, institutional investor interest, demographic ambiguity, remote work disruption—create complex rather than simple investment environment requiring sophisticated positioning.</w:t>
      </w:r>
    </w:p>
    <w:p w:rsidR="034504F4" w:rsidP="1763F82B" w:rsidRDefault="034504F4" w14:paraId="5165F62D" w14:textId="4F88E51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Research demonstrates that effective real estate market analysis requires integrating multiple frameworks rather than relying on single theoretical perspectives (Geipele et al., 2017). Boston's 2024 market exemplifies this necessity, as traditional models inadequately address structural transformations. By synthesizing traditional urban economics (Jud &amp; Winkler, 2002; Partridge et al., 2009; Saiz, 2010), behavioral finance perspectives on market expectations (Kuchler &amp; Zafar, 2022), and emerging research on remote work impacts (Mondragon &amp; Wieland, 2022), this analysis provides multifaceted understanding resisting oversimplification. The ultimate insight recognizes that investment success requires not resolving analytical tensions but strategically positioning to benefit from specific outcomes while protecting against alternatives—embracing uncertainty as fundamental rather than incidental to real estate investment in transformational eras.</w:t>
      </w:r>
    </w:p>
    <w:p w:rsidR="034504F4" w:rsidP="1763F82B" w:rsidRDefault="034504F4" w14:paraId="6C791F13" w14:textId="5E5EEB41">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1763F82B" w:rsidR="034504F4">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References</w:t>
      </w:r>
    </w:p>
    <w:p w:rsidR="034504F4" w:rsidP="1763F82B" w:rsidRDefault="034504F4" w14:paraId="3D1A7713" w14:textId="5FB7098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Geipele, S., Geipele, I., &amp; Pudzis, E. (2017). Integrated approach of real estate market analysis in sustainable development context for decision making. </w:t>
      </w:r>
      <w:r w:rsidRPr="1763F82B" w:rsidR="034504F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Procedia Engineering, 172</w:t>
      </w: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1006-1012. </w:t>
      </w:r>
      <w:hyperlink r:id="Rf57354c7a1884fa2">
        <w:r w:rsidRPr="1763F82B" w:rsidR="034504F4">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https://doi.org/10.1016/j.proeng.2017.02.154</w:t>
        </w:r>
      </w:hyperlink>
    </w:p>
    <w:p w:rsidR="034504F4" w:rsidP="1763F82B" w:rsidRDefault="034504F4" w14:paraId="5E9ED284" w14:textId="7FD9A7D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Jud, G. D., &amp; Winkler, D. T. (2002). The dynamics of metropolitan housing prices. </w:t>
      </w:r>
      <w:r w:rsidRPr="1763F82B" w:rsidR="034504F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Journal of Real Estate Research, 23</w:t>
      </w: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(1-2), 29-45. </w:t>
      </w:r>
      <w:hyperlink r:id="R197ff0764d074322">
        <w:r w:rsidRPr="1763F82B" w:rsidR="034504F4">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https://doi.org/10.1080/10835547.2002.12091069</w:t>
        </w:r>
      </w:hyperlink>
    </w:p>
    <w:p w:rsidR="034504F4" w:rsidP="1763F82B" w:rsidRDefault="034504F4" w14:paraId="47924109" w14:textId="68312FE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Kuchler, T., &amp; Zafar, B. (2022). Housing market expectations. </w:t>
      </w:r>
      <w:r w:rsidRPr="1763F82B" w:rsidR="034504F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Journal of Financial Economics, 145</w:t>
      </w: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(2), 555-580. </w:t>
      </w:r>
      <w:hyperlink r:id="R81d90f41dc1647fa">
        <w:r w:rsidRPr="1763F82B" w:rsidR="034504F4">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https://doi.org/10.1016/j.jfineco.2021.09.007</w:t>
        </w:r>
      </w:hyperlink>
    </w:p>
    <w:p w:rsidR="034504F4" w:rsidP="1763F82B" w:rsidRDefault="034504F4" w14:paraId="1B46F12B" w14:textId="64C0C59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Mondragon, J. A., &amp; Wieland, J. (2022). Housing demand and remote work (NBER Working Paper No. 30041). National Bureau of Economic Research. </w:t>
      </w:r>
      <w:hyperlink r:id="Ra6c4096853fa4ba3">
        <w:r w:rsidRPr="1763F82B" w:rsidR="034504F4">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https://doi.org/10.3386/w30041</w:t>
        </w:r>
      </w:hyperlink>
    </w:p>
    <w:p w:rsidR="034504F4" w:rsidP="1763F82B" w:rsidRDefault="034504F4" w14:paraId="518A34A9" w14:textId="77F7FC6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Partridge, M. D., Rickman, D. S., Ali, K., &amp; Olfert, M. R. (2009). Do New Economic Geography agglomeration shadows underlie current population dynamics across the urban hierarchy? </w:t>
      </w:r>
      <w:r w:rsidRPr="1763F82B" w:rsidR="034504F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Papers in Regional Science, 88</w:t>
      </w: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(2), 445-466. </w:t>
      </w:r>
      <w:hyperlink r:id="Rcc4acc3869064a59">
        <w:r w:rsidRPr="1763F82B" w:rsidR="034504F4">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https://doi.org/10.1111/j.1435-5957.2008.00211.x</w:t>
        </w:r>
      </w:hyperlink>
    </w:p>
    <w:p w:rsidR="034504F4" w:rsidP="1763F82B" w:rsidRDefault="034504F4" w14:paraId="2663AD9A" w14:textId="5F2C822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Saiz, A. (2010). The geographic determinants of housing supply. </w:t>
      </w:r>
      <w:r w:rsidRPr="1763F82B" w:rsidR="034504F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The Quarterly Journal of Economics, 125</w:t>
      </w:r>
      <w:r w:rsidRPr="1763F82B" w:rsidR="034504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(3), 1253-1296. </w:t>
      </w:r>
      <w:hyperlink r:id="R430064b808444b10">
        <w:r w:rsidRPr="1763F82B" w:rsidR="034504F4">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https://doi.org/10.1162/qjec.2010.125.3.1253</w:t>
        </w:r>
      </w:hyperlink>
    </w:p>
    <w:p w:rsidR="1763F82B" w:rsidP="1763F82B" w:rsidRDefault="1763F82B" w14:paraId="1449F5E5" w14:textId="1F76FEAE">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1763F82B" w:rsidP="1763F82B" w:rsidRDefault="1763F82B" w14:paraId="7F04FEB9" w14:textId="585A516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E9C27F"/>
    <w:rsid w:val="034504F4"/>
    <w:rsid w:val="1763F82B"/>
    <w:rsid w:val="49E9C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9C27F"/>
  <w15:chartTrackingRefBased/>
  <w15:docId w15:val="{0B3FD965-1BC1-4F56-BF26-2686A9CDBD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763F82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763F82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1763F82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016/j.proeng.2017.02.154" TargetMode="External" Id="Rf57354c7a1884fa2" /><Relationship Type="http://schemas.openxmlformats.org/officeDocument/2006/relationships/hyperlink" Target="https://doi.org/10.1080/10835547.2002.12091069" TargetMode="External" Id="R197ff0764d074322" /><Relationship Type="http://schemas.openxmlformats.org/officeDocument/2006/relationships/hyperlink" Target="https://doi.org/10.1016/j.jfineco.2021.09.007" TargetMode="External" Id="R81d90f41dc1647fa" /><Relationship Type="http://schemas.openxmlformats.org/officeDocument/2006/relationships/hyperlink" Target="https://doi.org/10.3386/w30041" TargetMode="External" Id="Ra6c4096853fa4ba3" /><Relationship Type="http://schemas.openxmlformats.org/officeDocument/2006/relationships/hyperlink" Target="https://doi.org/10.1111/j.1435-5957.2008.00211.x" TargetMode="External" Id="Rcc4acc3869064a59" /><Relationship Type="http://schemas.openxmlformats.org/officeDocument/2006/relationships/hyperlink" Target="https://doi.org/10.1162/qjec.2010.125.3.1253" TargetMode="External" Id="R430064b808444b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2025-11-23T18:06:43.0580847Z</dcterms:created>
  <dcterms:modified xsi:type="dcterms:W3CDTF">2025-11-23T18:07:23.3390240Z</dcterms:modified>
  <dc:creator>HuuThanhVy Nguyen</dc:creator>
  <lastModifiedBy>HuuThanhVy Nguyen</lastModifiedBy>
</coreProperties>
</file>