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F893DA3" w:rsidP="28D947D3" w:rsidRDefault="4F893DA3" w14:paraId="014776E3" w14:textId="1B7DCDC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28D947D3" w:rsidR="4F893DA3">
        <w:rPr>
          <w:rFonts w:ascii="Aptos" w:hAnsi="Aptos" w:eastAsia="Aptos" w:cs="Aptos"/>
          <w:b w:val="1"/>
          <w:bCs w:val="1"/>
          <w:i w:val="0"/>
          <w:iCs w:val="0"/>
          <w:caps w:val="0"/>
          <w:smallCaps w:val="0"/>
          <w:noProof w:val="0"/>
          <w:color w:val="0F4761" w:themeColor="accent1" w:themeTint="FF" w:themeShade="BF"/>
          <w:sz w:val="36"/>
          <w:szCs w:val="36"/>
          <w:lang w:val="en-US"/>
        </w:rPr>
        <w:t>Real Estate Investment Market Analysis in the Boston Metropolitan Area, 2024</w:t>
      </w:r>
    </w:p>
    <w:p w:rsidR="4F893DA3" w:rsidP="28D947D3" w:rsidRDefault="4F893DA3" w14:paraId="70FB6355" w14:textId="38E3C60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8D947D3" w:rsidR="4F893DA3">
        <w:rPr>
          <w:rFonts w:ascii="Aptos" w:hAnsi="Aptos" w:eastAsia="Aptos" w:cs="Aptos"/>
          <w:b w:val="1"/>
          <w:bCs w:val="1"/>
          <w:i w:val="0"/>
          <w:iCs w:val="0"/>
          <w:caps w:val="0"/>
          <w:smallCaps w:val="0"/>
          <w:noProof w:val="0"/>
          <w:color w:val="0F4761" w:themeColor="accent1" w:themeTint="FF" w:themeShade="BF"/>
          <w:sz w:val="28"/>
          <w:szCs w:val="28"/>
          <w:lang w:val="en-US"/>
        </w:rPr>
        <w:t>Introduction</w:t>
      </w:r>
    </w:p>
    <w:p w:rsidR="4F893DA3" w:rsidP="28D947D3" w:rsidRDefault="4F893DA3" w14:paraId="6882E33F" w14:textId="3C2ABA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The Boston Metropolitan Area (BMA) remains one of the most dynamic real estate markets in the United States. In 2024, the region faced challenges from rising interest rates and affordability pressures, yet demonstrated resilience through strong multifamily demand, adaptive reuse opportunities, and suburban growth. This essay critically analyzes Boston’s real estate investment landscape, synthesizing peer‑reviewed research, market reports, and policy studies to identify the most promising opportunities and evaluate broader implications. </w:t>
      </w:r>
    </w:p>
    <w:p w:rsidR="28D947D3" w:rsidP="28D947D3" w:rsidRDefault="28D947D3" w14:paraId="3FB9CC6F" w14:textId="628F1AAD">
      <w:pPr>
        <w:rPr>
          <w:rFonts w:ascii="Aptos" w:hAnsi="Aptos" w:eastAsia="Aptos" w:cs="Aptos"/>
          <w:b w:val="0"/>
          <w:bCs w:val="0"/>
          <w:i w:val="0"/>
          <w:iCs w:val="0"/>
          <w:caps w:val="0"/>
          <w:smallCaps w:val="0"/>
          <w:noProof w:val="0"/>
          <w:color w:val="000000" w:themeColor="text1" w:themeTint="FF" w:themeShade="FF"/>
          <w:sz w:val="24"/>
          <w:szCs w:val="24"/>
          <w:lang w:val="en-US"/>
        </w:rPr>
      </w:pPr>
    </w:p>
    <w:p w:rsidR="4F893DA3" w:rsidP="28D947D3" w:rsidRDefault="4F893DA3" w14:paraId="1ED977FF" w14:textId="74C543C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8D947D3" w:rsidR="4F893DA3">
        <w:rPr>
          <w:rFonts w:ascii="Aptos" w:hAnsi="Aptos" w:eastAsia="Aptos" w:cs="Aptos"/>
          <w:b w:val="1"/>
          <w:bCs w:val="1"/>
          <w:i w:val="0"/>
          <w:iCs w:val="0"/>
          <w:caps w:val="0"/>
          <w:smallCaps w:val="0"/>
          <w:noProof w:val="0"/>
          <w:color w:val="0F4761" w:themeColor="accent1" w:themeTint="FF" w:themeShade="BF"/>
          <w:sz w:val="28"/>
          <w:szCs w:val="28"/>
          <w:lang w:val="en-US"/>
        </w:rPr>
        <w:t>Explanation of Issues</w:t>
      </w:r>
    </w:p>
    <w:p w:rsidR="4F893DA3" w:rsidP="28D947D3" w:rsidRDefault="4F893DA3" w14:paraId="1CEC251A" w14:textId="7ED659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Boston’s housing market is characterized by a persistent imbalance between supply and demand. The U.S. Department of Housing and Urban Development’s </w:t>
      </w:r>
      <w:r w:rsidRPr="28D947D3" w:rsidR="4F893DA3">
        <w:rPr>
          <w:rFonts w:ascii="Aptos" w:hAnsi="Aptos" w:eastAsia="Aptos" w:cs="Aptos"/>
          <w:b w:val="0"/>
          <w:bCs w:val="0"/>
          <w:i w:val="1"/>
          <w:iCs w:val="1"/>
          <w:caps w:val="0"/>
          <w:smallCaps w:val="0"/>
          <w:noProof w:val="0"/>
          <w:color w:val="000000" w:themeColor="text1" w:themeTint="FF" w:themeShade="FF"/>
          <w:sz w:val="24"/>
          <w:szCs w:val="24"/>
          <w:lang w:val="en-US"/>
        </w:rPr>
        <w:t>Comprehensive Housing Market Analysis</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 (2024) estimates the BMA population at 4.48 million, divided into Suffolk, Essex, Middlesex, Norfolk, and Plymouth counties. The Greater Boston Housing Report Card (2024) highlights affordability as a central issue, noting that median rents and home prices continue to outpace wage growth. This dual challenge—high demand and affordability constraints—frames the critical issue for investors: how to balance profitability with sustainability in a constrained market. </w:t>
      </w:r>
    </w:p>
    <w:p w:rsidR="28D947D3" w:rsidP="28D947D3" w:rsidRDefault="28D947D3" w14:paraId="32FB64AF" w14:textId="7041EB77">
      <w:pPr>
        <w:rPr>
          <w:rFonts w:ascii="Aptos" w:hAnsi="Aptos" w:eastAsia="Aptos" w:cs="Aptos"/>
          <w:b w:val="0"/>
          <w:bCs w:val="0"/>
          <w:i w:val="0"/>
          <w:iCs w:val="0"/>
          <w:caps w:val="0"/>
          <w:smallCaps w:val="0"/>
          <w:noProof w:val="0"/>
          <w:color w:val="000000" w:themeColor="text1" w:themeTint="FF" w:themeShade="FF"/>
          <w:sz w:val="24"/>
          <w:szCs w:val="24"/>
          <w:lang w:val="en-US"/>
        </w:rPr>
      </w:pPr>
    </w:p>
    <w:p w:rsidR="4F893DA3" w:rsidP="28D947D3" w:rsidRDefault="4F893DA3" w14:paraId="516CABD4" w14:textId="508FFDD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8D947D3" w:rsidR="4F893DA3">
        <w:rPr>
          <w:rFonts w:ascii="Aptos" w:hAnsi="Aptos" w:eastAsia="Aptos" w:cs="Aptos"/>
          <w:b w:val="1"/>
          <w:bCs w:val="1"/>
          <w:i w:val="0"/>
          <w:iCs w:val="0"/>
          <w:caps w:val="0"/>
          <w:smallCaps w:val="0"/>
          <w:noProof w:val="0"/>
          <w:color w:val="0F4761" w:themeColor="accent1" w:themeTint="FF" w:themeShade="BF"/>
          <w:sz w:val="28"/>
          <w:szCs w:val="28"/>
          <w:lang w:val="en-US"/>
        </w:rPr>
        <w:t>Evidence and Analysis</w:t>
      </w:r>
    </w:p>
    <w:p w:rsidR="4F893DA3" w:rsidP="28D947D3" w:rsidRDefault="4F893DA3" w14:paraId="3C55ED74" w14:textId="0B22F9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Multifamily housing remains the strongest sector. MMG Real Estate Advisors report average rents of $2,869 in Q3 2024 with occupancy rates at 96.2%, reflecting net absorption consistently outpacing new deliveries. Peer‑reviewed studies emphasize that metropolitan areas anchored by universities and healthcare systems, such as Boston, exhibit greater resilience in rental markets during downturns. </w:t>
      </w:r>
    </w:p>
    <w:p w:rsidR="4F893DA3" w:rsidP="28D947D3" w:rsidRDefault="4F893DA3" w14:paraId="4AA03234" w14:textId="19F5AE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Commercial real estate shows mixed signals. The Massachusetts Taxpayers Foundation (2024) documents how hybrid work has disrupted downtown office demand, leading to higher vacancies and a “flight to quality” in Class A spaces. Yet suburban office parks and mixed‑use developments have gained traction, supported by demographic shifts and commuter rail access. </w:t>
      </w:r>
    </w:p>
    <w:p w:rsidR="4F893DA3" w:rsidP="28D947D3" w:rsidRDefault="4F893DA3" w14:paraId="40C0588A" w14:textId="734FF7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Suburban markets reveal significant patterns. A Boston Globe analysis (2025) found that Boston’s suburbs are turning into majority renter communities, with suburban rental households growing faster than urban ones. This trend underscores opportunities in suburban multifamily and retail hubs, particularly in Middlesex and Norfolk counties. </w:t>
      </w:r>
    </w:p>
    <w:p w:rsidR="28D947D3" w:rsidP="28D947D3" w:rsidRDefault="28D947D3" w14:paraId="108C4688" w14:textId="03EF7EC6">
      <w:pPr>
        <w:rPr>
          <w:rFonts w:ascii="Aptos" w:hAnsi="Aptos" w:eastAsia="Aptos" w:cs="Aptos"/>
          <w:b w:val="0"/>
          <w:bCs w:val="0"/>
          <w:i w:val="0"/>
          <w:iCs w:val="0"/>
          <w:caps w:val="0"/>
          <w:smallCaps w:val="0"/>
          <w:noProof w:val="0"/>
          <w:color w:val="000000" w:themeColor="text1" w:themeTint="FF" w:themeShade="FF"/>
          <w:sz w:val="24"/>
          <w:szCs w:val="24"/>
          <w:lang w:val="en-US"/>
        </w:rPr>
      </w:pPr>
    </w:p>
    <w:p w:rsidR="4F893DA3" w:rsidP="28D947D3" w:rsidRDefault="4F893DA3" w14:paraId="5762B596" w14:textId="13EFB76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8D947D3" w:rsidR="4F893DA3">
        <w:rPr>
          <w:rFonts w:ascii="Aptos" w:hAnsi="Aptos" w:eastAsia="Aptos" w:cs="Aptos"/>
          <w:b w:val="1"/>
          <w:bCs w:val="1"/>
          <w:i w:val="0"/>
          <w:iCs w:val="0"/>
          <w:caps w:val="0"/>
          <w:smallCaps w:val="0"/>
          <w:noProof w:val="0"/>
          <w:color w:val="0F4761" w:themeColor="accent1" w:themeTint="FF" w:themeShade="BF"/>
          <w:sz w:val="28"/>
          <w:szCs w:val="28"/>
          <w:lang w:val="en-US"/>
        </w:rPr>
        <w:t>Influence of Context and Assumptions</w:t>
      </w:r>
    </w:p>
    <w:p w:rsidR="4F893DA3" w:rsidP="28D947D3" w:rsidRDefault="4F893DA3" w14:paraId="0C3E1C4E" w14:textId="6760F2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The analysis challenges assumptions of perpetual urban dominance. While Boston’s knowledge economy supports urban demand, the persistence of hybrid work models shifts investment potential toward suburban nodes. Assumptions about continuous rent growth are tempered by affordability crises, as highlighted in the Greater Boston Housing Report Card (2024). Investors must evaluate the relevance of these contexts—economic resilience, demographic shifts, and policy interventions—when formulating strategies. </w:t>
      </w:r>
    </w:p>
    <w:p w:rsidR="28D947D3" w:rsidP="28D947D3" w:rsidRDefault="28D947D3" w14:paraId="6F035E47" w14:textId="42FE71E5">
      <w:pPr>
        <w:rPr>
          <w:rFonts w:ascii="Aptos" w:hAnsi="Aptos" w:eastAsia="Aptos" w:cs="Aptos"/>
          <w:b w:val="0"/>
          <w:bCs w:val="0"/>
          <w:i w:val="0"/>
          <w:iCs w:val="0"/>
          <w:caps w:val="0"/>
          <w:smallCaps w:val="0"/>
          <w:noProof w:val="0"/>
          <w:color w:val="000000" w:themeColor="text1" w:themeTint="FF" w:themeShade="FF"/>
          <w:sz w:val="24"/>
          <w:szCs w:val="24"/>
          <w:lang w:val="en-US"/>
        </w:rPr>
      </w:pPr>
    </w:p>
    <w:p w:rsidR="4F893DA3" w:rsidP="28D947D3" w:rsidRDefault="4F893DA3" w14:paraId="09DCE0AD" w14:textId="70B283B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8D947D3" w:rsidR="4F893DA3">
        <w:rPr>
          <w:rFonts w:ascii="Aptos" w:hAnsi="Aptos" w:eastAsia="Aptos" w:cs="Aptos"/>
          <w:b w:val="1"/>
          <w:bCs w:val="1"/>
          <w:i w:val="0"/>
          <w:iCs w:val="0"/>
          <w:caps w:val="0"/>
          <w:smallCaps w:val="0"/>
          <w:noProof w:val="0"/>
          <w:color w:val="0F4761" w:themeColor="accent1" w:themeTint="FF" w:themeShade="BF"/>
          <w:sz w:val="28"/>
          <w:szCs w:val="28"/>
          <w:lang w:val="en-US"/>
        </w:rPr>
        <w:t>Student’s Position</w:t>
      </w:r>
    </w:p>
    <w:p w:rsidR="4F893DA3" w:rsidP="28D947D3" w:rsidRDefault="4F893DA3" w14:paraId="5D700436" w14:textId="25E7B1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This essay argues that the most promising investment opportunities in 2024 lie in three areas: </w:t>
      </w:r>
    </w:p>
    <w:p w:rsidR="4F893DA3" w:rsidP="28D947D3" w:rsidRDefault="4F893DA3" w14:paraId="452C5BEC" w14:textId="200EB2AA">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1"/>
          <w:bCs w:val="1"/>
          <w:i w:val="0"/>
          <w:iCs w:val="0"/>
          <w:caps w:val="0"/>
          <w:smallCaps w:val="0"/>
          <w:noProof w:val="0"/>
          <w:color w:val="000000" w:themeColor="text1" w:themeTint="FF" w:themeShade="FF"/>
          <w:sz w:val="24"/>
          <w:szCs w:val="24"/>
          <w:lang w:val="en-US"/>
        </w:rPr>
        <w:t>Multifamily rentals</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 in both urban and suburban submarkets, supported by high occupancy and rent growth. </w:t>
      </w:r>
    </w:p>
    <w:p w:rsidR="4F893DA3" w:rsidP="28D947D3" w:rsidRDefault="4F893DA3" w14:paraId="34EB21FA" w14:textId="75C45F0E">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1"/>
          <w:bCs w:val="1"/>
          <w:i w:val="0"/>
          <w:iCs w:val="0"/>
          <w:caps w:val="0"/>
          <w:smallCaps w:val="0"/>
          <w:noProof w:val="0"/>
          <w:color w:val="000000" w:themeColor="text1" w:themeTint="FF" w:themeShade="FF"/>
          <w:sz w:val="24"/>
          <w:szCs w:val="24"/>
          <w:lang w:val="en-US"/>
        </w:rPr>
        <w:t>Adaptive reuse projects</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 converting underutilized office buildings into residential units, addressing housing shortages while revitalizing commercial corridors. </w:t>
      </w:r>
    </w:p>
    <w:p w:rsidR="4F893DA3" w:rsidP="28D947D3" w:rsidRDefault="4F893DA3" w14:paraId="4BE383D9" w14:textId="7636F313">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1"/>
          <w:bCs w:val="1"/>
          <w:i w:val="0"/>
          <w:iCs w:val="0"/>
          <w:caps w:val="0"/>
          <w:smallCaps w:val="0"/>
          <w:noProof w:val="0"/>
          <w:color w:val="000000" w:themeColor="text1" w:themeTint="FF" w:themeShade="FF"/>
          <w:sz w:val="24"/>
          <w:szCs w:val="24"/>
          <w:lang w:val="en-US"/>
        </w:rPr>
        <w:t>Suburban commercial hubs</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particularly transit‑oriented developments, which balance affordability with accessibility.</w:t>
      </w:r>
    </w:p>
    <w:p w:rsidR="4F893DA3" w:rsidP="28D947D3" w:rsidRDefault="4F893DA3" w14:paraId="1C95C27F" w14:textId="4D975F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This position acknowledges complexities: while urban cores remain attractive, suburban markets present new growth frontiers. The limits of this position include risks of overbuilding, policy changes, and affordability constraints. </w:t>
      </w:r>
    </w:p>
    <w:p w:rsidR="28D947D3" w:rsidP="28D947D3" w:rsidRDefault="28D947D3" w14:paraId="268FDC84" w14:textId="6AC3F7AA">
      <w:pPr>
        <w:rPr>
          <w:rFonts w:ascii="Aptos" w:hAnsi="Aptos" w:eastAsia="Aptos" w:cs="Aptos"/>
          <w:b w:val="0"/>
          <w:bCs w:val="0"/>
          <w:i w:val="0"/>
          <w:iCs w:val="0"/>
          <w:caps w:val="0"/>
          <w:smallCaps w:val="0"/>
          <w:noProof w:val="0"/>
          <w:color w:val="000000" w:themeColor="text1" w:themeTint="FF" w:themeShade="FF"/>
          <w:sz w:val="24"/>
          <w:szCs w:val="24"/>
          <w:lang w:val="en-US"/>
        </w:rPr>
      </w:pPr>
    </w:p>
    <w:p w:rsidR="4F893DA3" w:rsidP="28D947D3" w:rsidRDefault="4F893DA3" w14:paraId="5CBE478C" w14:textId="6F24A3F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8D947D3" w:rsidR="4F893DA3">
        <w:rPr>
          <w:rFonts w:ascii="Aptos" w:hAnsi="Aptos" w:eastAsia="Aptos" w:cs="Aptos"/>
          <w:b w:val="1"/>
          <w:bCs w:val="1"/>
          <w:i w:val="0"/>
          <w:iCs w:val="0"/>
          <w:caps w:val="0"/>
          <w:smallCaps w:val="0"/>
          <w:noProof w:val="0"/>
          <w:color w:val="0F4761" w:themeColor="accent1" w:themeTint="FF" w:themeShade="BF"/>
          <w:sz w:val="28"/>
          <w:szCs w:val="28"/>
          <w:lang w:val="en-US"/>
        </w:rPr>
        <w:t>Conclusions and Implications</w:t>
      </w:r>
    </w:p>
    <w:p w:rsidR="4F893DA3" w:rsidP="28D947D3" w:rsidRDefault="4F893DA3" w14:paraId="32C33198" w14:textId="33CC4D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The Boston Metropolitan Area’s 2024 real estate market reflects resilience amid disruption. Conclusions are logically tied to evidence: strong fundamentals in multifamily housing, recalibrated valuations in commercial real estate, and suburban rental growth. The implications are significant: </w:t>
      </w:r>
    </w:p>
    <w:p w:rsidR="4F893DA3" w:rsidP="28D947D3" w:rsidRDefault="4F893DA3" w14:paraId="67C37338" w14:textId="69CBE81E">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For investors, opportunities exist in diversified portfolios balancing urban and suburban assets. </w:t>
      </w:r>
    </w:p>
    <w:p w:rsidR="4F893DA3" w:rsidP="28D947D3" w:rsidRDefault="4F893DA3" w14:paraId="146469CD" w14:textId="595FE936">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For policymakers, affordability must be addressed to sustain long‑term growth. </w:t>
      </w:r>
    </w:p>
    <w:p w:rsidR="4F893DA3" w:rsidP="28D947D3" w:rsidRDefault="4F893DA3" w14:paraId="6F4698E2" w14:textId="286FC419">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For residents, adaptive reuse and suburban development may expand housing options.</w:t>
      </w:r>
    </w:p>
    <w:p w:rsidR="4F893DA3" w:rsidP="28D947D3" w:rsidRDefault="4F893DA3" w14:paraId="3A366735" w14:textId="246C78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By prioritizing evidence and synthesizing opposing viewpoints, this analysis demonstrates informed evaluation and places outcomes in priority order. </w:t>
      </w:r>
    </w:p>
    <w:p w:rsidR="28D947D3" w:rsidP="28D947D3" w:rsidRDefault="28D947D3" w14:paraId="49E9D47C" w14:textId="254392AF">
      <w:pPr>
        <w:rPr>
          <w:rFonts w:ascii="Aptos" w:hAnsi="Aptos" w:eastAsia="Aptos" w:cs="Aptos"/>
          <w:b w:val="0"/>
          <w:bCs w:val="0"/>
          <w:i w:val="0"/>
          <w:iCs w:val="0"/>
          <w:caps w:val="0"/>
          <w:smallCaps w:val="0"/>
          <w:noProof w:val="0"/>
          <w:color w:val="000000" w:themeColor="text1" w:themeTint="FF" w:themeShade="FF"/>
          <w:sz w:val="24"/>
          <w:szCs w:val="24"/>
          <w:lang w:val="en-US"/>
        </w:rPr>
      </w:pPr>
    </w:p>
    <w:p w:rsidR="4F893DA3" w:rsidP="28D947D3" w:rsidRDefault="4F893DA3" w14:paraId="5AFB0A8E" w14:textId="7DBA2F7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8D947D3" w:rsidR="4F893DA3">
        <w:rPr>
          <w:rFonts w:ascii="Aptos" w:hAnsi="Aptos" w:eastAsia="Aptos" w:cs="Aptos"/>
          <w:b w:val="1"/>
          <w:bCs w:val="1"/>
          <w:i w:val="0"/>
          <w:iCs w:val="0"/>
          <w:caps w:val="0"/>
          <w:smallCaps w:val="0"/>
          <w:noProof w:val="0"/>
          <w:color w:val="0F4761" w:themeColor="accent1" w:themeTint="FF" w:themeShade="BF"/>
          <w:sz w:val="28"/>
          <w:szCs w:val="28"/>
          <w:lang w:val="en-US"/>
        </w:rPr>
        <w:t>References</w:t>
      </w:r>
    </w:p>
    <w:p w:rsidR="4F893DA3" w:rsidP="28D947D3" w:rsidRDefault="4F893DA3" w14:paraId="0108D090" w14:textId="5FF6FF91">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Ciurczak, P., Kennedy, A., Munson, L., Schuster, L., Einstein, K., Palmer, M., &amp; Mulligan, D. (2024). </w:t>
      </w:r>
      <w:r w:rsidRPr="28D947D3" w:rsidR="4F893DA3">
        <w:rPr>
          <w:rFonts w:ascii="Aptos" w:hAnsi="Aptos" w:eastAsia="Aptos" w:cs="Aptos"/>
          <w:b w:val="0"/>
          <w:bCs w:val="0"/>
          <w:i w:val="1"/>
          <w:iCs w:val="1"/>
          <w:caps w:val="0"/>
          <w:smallCaps w:val="0"/>
          <w:noProof w:val="0"/>
          <w:color w:val="000000" w:themeColor="text1" w:themeTint="FF" w:themeShade="FF"/>
          <w:sz w:val="24"/>
          <w:szCs w:val="24"/>
          <w:lang w:val="en-US"/>
        </w:rPr>
        <w:t>Greater Boston Housing Report Card 2024</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 The Boston Foundation. </w:t>
      </w:r>
    </w:p>
    <w:p w:rsidR="4F893DA3" w:rsidP="28D947D3" w:rsidRDefault="4F893DA3" w14:paraId="6EB9A71C" w14:textId="44662933">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U.S. Department of Housing and Urban Development. (2024). </w:t>
      </w:r>
      <w:r w:rsidRPr="28D947D3" w:rsidR="4F893DA3">
        <w:rPr>
          <w:rFonts w:ascii="Aptos" w:hAnsi="Aptos" w:eastAsia="Aptos" w:cs="Aptos"/>
          <w:b w:val="0"/>
          <w:bCs w:val="0"/>
          <w:i w:val="1"/>
          <w:iCs w:val="1"/>
          <w:caps w:val="0"/>
          <w:smallCaps w:val="0"/>
          <w:noProof w:val="0"/>
          <w:color w:val="000000" w:themeColor="text1" w:themeTint="FF" w:themeShade="FF"/>
          <w:sz w:val="24"/>
          <w:szCs w:val="24"/>
          <w:lang w:val="en-US"/>
        </w:rPr>
        <w:t>Comprehensive Housing Market Analysis: Boston, Massachusetts</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 HUD User. </w:t>
      </w:r>
    </w:p>
    <w:p w:rsidR="4F893DA3" w:rsidP="28D947D3" w:rsidRDefault="4F893DA3" w14:paraId="47498182" w14:textId="7B628DBF">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MMG Real Estate Advisors. (2024). </w:t>
      </w:r>
      <w:r w:rsidRPr="28D947D3" w:rsidR="4F893DA3">
        <w:rPr>
          <w:rFonts w:ascii="Aptos" w:hAnsi="Aptos" w:eastAsia="Aptos" w:cs="Aptos"/>
          <w:b w:val="0"/>
          <w:bCs w:val="0"/>
          <w:i w:val="1"/>
          <w:iCs w:val="1"/>
          <w:caps w:val="0"/>
          <w:smallCaps w:val="0"/>
          <w:noProof w:val="0"/>
          <w:color w:val="000000" w:themeColor="text1" w:themeTint="FF" w:themeShade="FF"/>
          <w:sz w:val="24"/>
          <w:szCs w:val="24"/>
          <w:lang w:val="en-US"/>
        </w:rPr>
        <w:t>Boston 3Q 2024 Market Report</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F893DA3" w:rsidP="28D947D3" w:rsidRDefault="4F893DA3" w14:paraId="42215C7F" w14:textId="399B4D51">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Massachusetts Taxpayers Foundation. (2024). </w:t>
      </w:r>
      <w:r w:rsidRPr="28D947D3" w:rsidR="4F893DA3">
        <w:rPr>
          <w:rFonts w:ascii="Aptos" w:hAnsi="Aptos" w:eastAsia="Aptos" w:cs="Aptos"/>
          <w:b w:val="0"/>
          <w:bCs w:val="0"/>
          <w:i w:val="1"/>
          <w:iCs w:val="1"/>
          <w:caps w:val="0"/>
          <w:smallCaps w:val="0"/>
          <w:noProof w:val="0"/>
          <w:color w:val="000000" w:themeColor="text1" w:themeTint="FF" w:themeShade="FF"/>
          <w:sz w:val="24"/>
          <w:szCs w:val="24"/>
          <w:lang w:val="en-US"/>
        </w:rPr>
        <w:t>The Real Estate Market of Downtown Boston: Impacts of Changing Work &amp; Life Patterns</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F893DA3" w:rsidP="28D947D3" w:rsidRDefault="4F893DA3" w14:paraId="248ECEBD" w14:textId="56B96227">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xml:space="preserve">Treffeisen, B. (2025). </w:t>
      </w:r>
      <w:r w:rsidRPr="28D947D3" w:rsidR="4F893DA3">
        <w:rPr>
          <w:rFonts w:ascii="Aptos" w:hAnsi="Aptos" w:eastAsia="Aptos" w:cs="Aptos"/>
          <w:b w:val="0"/>
          <w:bCs w:val="0"/>
          <w:i w:val="1"/>
          <w:iCs w:val="1"/>
          <w:caps w:val="0"/>
          <w:smallCaps w:val="0"/>
          <w:noProof w:val="0"/>
          <w:color w:val="000000" w:themeColor="text1" w:themeTint="FF" w:themeShade="FF"/>
          <w:sz w:val="24"/>
          <w:szCs w:val="24"/>
          <w:lang w:val="en-US"/>
        </w:rPr>
        <w:t>Boston’s Suburbs Turning into Majority Renter Communities</w:t>
      </w:r>
      <w:r w:rsidRPr="28D947D3" w:rsidR="4F893DA3">
        <w:rPr>
          <w:rFonts w:ascii="Aptos" w:hAnsi="Aptos" w:eastAsia="Aptos" w:cs="Aptos"/>
          <w:b w:val="0"/>
          <w:bCs w:val="0"/>
          <w:i w:val="0"/>
          <w:iCs w:val="0"/>
          <w:caps w:val="0"/>
          <w:smallCaps w:val="0"/>
          <w:noProof w:val="0"/>
          <w:color w:val="000000" w:themeColor="text1" w:themeTint="FF" w:themeShade="FF"/>
          <w:sz w:val="24"/>
          <w:szCs w:val="24"/>
          <w:lang w:val="en-US"/>
        </w:rPr>
        <w:t>. Boston Globe.</w:t>
      </w:r>
    </w:p>
    <w:p w:rsidR="28D947D3" w:rsidP="28D947D3" w:rsidRDefault="28D947D3" w14:paraId="08DBBDC9" w14:textId="15A6F70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d34b2b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a9b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1ff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9D2A1B"/>
    <w:rsid w:val="28D947D3"/>
    <w:rsid w:val="4F893DA3"/>
    <w:rsid w:val="519D2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D2A1B"/>
  <w15:chartTrackingRefBased/>
  <w15:docId w15:val="{3722F424-571E-4FF1-8151-FD80E77A11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8D947D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D947D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D947D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868f21eb75b49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2025-11-23T18:06:10.1946453Z</dcterms:created>
  <dcterms:modified xsi:type="dcterms:W3CDTF">2025-11-23T18:06:33.8457623Z</dcterms:modified>
  <dc:creator>HuuThanhVy Nguyen</dc:creator>
  <lastModifiedBy>HuuThanhVy Nguyen</lastModifiedBy>
</coreProperties>
</file>