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AC23847" w:rsidP="665ED54E" w:rsidRDefault="5AC23847" w14:paraId="64284160" w14:textId="376CA5EB">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665ED54E" w:rsidR="5AC2384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The Social Contract and the Growth Conundrum: A Critical Analysis of OECD Data</w:t>
      </w:r>
    </w:p>
    <w:p w:rsidR="5AC23847" w:rsidP="665ED54E" w:rsidRDefault="5AC23847" w14:paraId="52C14FD4" w14:textId="312416C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For decades, a central and contentious debate in political economy has revolved around the sustainability and economic consequence of the modern welfare state. A persistent hypothesis, often serving as the intellectual foundation for proponents of fiscal austerity, posits that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“social service spending is inversely related to economic growth.”</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This neoclassical critique argues that high public spending, financed through taxation, necessarily crowds out more productive private investment, distorts labor markets, and disincentivizes work, thereby acting as a fundamental drag on economic dynamism. Conversely, a social investment perspective contends that comprehensive social spending—on health, education, and social insurance—is not a burden but a prerequisite for stable, advanced capitalism, creating a healthy, high-skilled, and secure workforce.</w:t>
      </w:r>
    </w:p>
    <w:p w:rsidR="5AC23847" w:rsidP="665ED54E" w:rsidRDefault="5AC23847" w14:paraId="02E95E06" w14:textId="149EF1F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An examination of the provided dataset, which samples ten OECD countries across five non-consecutive years, is tasked with evaluating this hypothesis. The data presents social welfare spending as a percentage of GDP alongside annual GDP growth rates. A systematic analysis of this data reveals that it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fails to provide any consistent, conclusive support for the proposed inverse relationship.</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While isolated data points can be marshaled to support the hypothesis, these are immediately nullified by a cascade of stark contradictions within the dataset. Ultimately, the data's profound methodological limitations—its inability to untangle correlation from causation, control for critical context, or account for the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composition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spending—render it wholly insufficient to validate the hypothesis. The data's contradictions do not suggest a simple relationship; they suggest the hypothesis itself is a an oversimplification of a far more complex reality.</w:t>
      </w:r>
    </w:p>
    <w:p w:rsidR="665ED54E" w:rsidP="665ED54E" w:rsidRDefault="665ED54E" w14:paraId="0C84CDBD" w14:textId="2DB1E26D">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AC23847" w:rsidP="665ED54E" w:rsidRDefault="5AC23847" w14:paraId="540CE7A2" w14:textId="596ABDD7">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665ED54E" w:rsidR="5AC23847">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A Fleeting, Superficial Case for the Hypothesis</w:t>
      </w:r>
    </w:p>
    <w:p w:rsidR="5AC23847" w:rsidP="665ED54E" w:rsidRDefault="5AC23847" w14:paraId="00BAF56E" w14:textId="3AF14C3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At first glance, one can cherry-pick data points that seem to validate the hypothesis. The most compelling case comes from a simple comparison of the bookend years: 2000 and 2019. In 2000, which generally featured the lowest social spending across the sample, the ten countries averaged a robust 3.86% GDP growth. By 2019, which saw significantly higher social spending levels, average growth was a far more tepid 1.73%.</w:t>
      </w:r>
    </w:p>
    <w:p w:rsidR="5AC23847" w:rsidP="665ED54E" w:rsidRDefault="5AC23847" w14:paraId="04F00725" w14:textId="5F3516E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This pattern holds for specific countries. In 2000,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France</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allocated 27.5% of its GDP to social spending and enjoyed a 4.14% growth rate. By 2019, its spending had climbed to 31.2%, while its growth was a mere 2.02%. A similar story unfolds in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Italy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which moved from 22.6% spending and 3.88% growth in 2000 to 28.2% spending and a near-stagnant 0.43% growth in 2019. This surface-level interpretation aligns with arguments, such as those forwarded by economists like Vito Tanzi and Ludger Schuknecht, who have argued that the expansion of public spending reached a point of diminishing or negative returns, creating a significant burden on the private sector (Tanzi &amp; Schuknecht, 2000). From this limited perspective, the data appears to confirm that as the welfare state expanded, economic dynamism faded.</w:t>
      </w:r>
    </w:p>
    <w:p w:rsidR="665ED54E" w:rsidP="665ED54E" w:rsidRDefault="665ED54E" w14:paraId="7AF5C8A4" w14:textId="3658AE8D">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AC23847" w:rsidP="665ED54E" w:rsidRDefault="5AC23847" w14:paraId="19893743" w14:textId="475936E6">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665ED54E" w:rsidR="5AC23847">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The Data's Rebuttal: A Cascade of Contradictions</w:t>
      </w:r>
    </w:p>
    <w:p w:rsidR="5AC23847" w:rsidP="665ED54E" w:rsidRDefault="5AC23847" w14:paraId="0911F061" w14:textId="4A6CD1E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simple narrative of an inverse relationship, however, disintegrates upon any rigorous, systematic inspection of the data. The dataset is replete with "inconvenient facts" and direct contradictions that completely undermine the hypothesis.</w:t>
      </w:r>
    </w:p>
    <w:p w:rsidR="5AC23847" w:rsidP="665ED54E" w:rsidRDefault="5AC23847" w14:paraId="7B658449" w14:textId="39CDF7A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First, the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2019 cross-sectional data flatly contradicts the premise.</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If the hypothesis were true, we would expect countries with higher spending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in the same year</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to exhibit lower growth. This is not the case.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France</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with the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highest</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social spending in the entire dataset (31.2%), posted a respectable 2.02% growth. This growth rate was significantly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higher</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than that of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Germany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(25.1% spending, 0.99% growth),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Austria</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(26.6% spending, 1.75% growth), and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Italy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(28.2% spending, 0.43% growth). Here, the country with the largest welfare state outperformed several of its lower-spending peers.</w:t>
      </w:r>
    </w:p>
    <w:p w:rsidR="5AC23847" w:rsidP="665ED54E" w:rsidRDefault="5AC23847" w14:paraId="7A55F190" w14:textId="19ADBBB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Second, the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temporal data for a single country is erratic and contradictory.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Sweden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for example, social spending was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higher</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2005 (27.4%) than it was in 2010 (26.3%), yet growth was significantly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lower</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2005 (2.79% vs. 5.75%). If the hypothesis held, the lower-spending year (2010) should not have produced an outcome more than twice as strong as the higher-spending year.</w:t>
      </w:r>
    </w:p>
    <w:p w:rsidR="5AC23847" w:rsidP="665ED54E" w:rsidRDefault="5AC23847" w14:paraId="129D4773" w14:textId="7F02255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Third, the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data from 2010 shows the hypothesis has no predictive power.</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the wake of the 2008 financial crisis,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Sweden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(26.3% spending) and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Germany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(25.9% spending) posted extraordinarily high growth rates of 5.75% and 4.15%, respectively. Their social spending levels were substantial—higher than many other countries in other years—yet their economies grew at a pace that dwarfed other observations. Simultaneously,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Spain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 2010 had a nearly identical spending level (25.8%) but saw virtually zero growth (0.09%). This divergence is the most critical finding in the dataset: it demonstrates that factors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other</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than the level of social spending (e.g., industrial structure, export orientation, specific policy responses) were the dominant drivers of economic outcomes.</w:t>
      </w:r>
    </w:p>
    <w:p w:rsidR="665ED54E" w:rsidP="665ED54E" w:rsidRDefault="665ED54E" w14:paraId="02EB17E4" w14:textId="74817362">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AC23847" w:rsidP="665ED54E" w:rsidRDefault="5AC23847" w14:paraId="084AB8A7" w14:textId="7EB1D8BE">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665ED54E" w:rsidR="5AC23847">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Methodological Flaws: Why the Data Fails the Hypothesis</w:t>
      </w:r>
    </w:p>
    <w:p w:rsidR="5AC23847" w:rsidP="665ED54E" w:rsidRDefault="5AC23847" w14:paraId="13E270FC" w14:textId="4E2FC48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data is not just contradictory; it is methodologically unequipped to answer the question. The "inverse relationship" assumption is plagued by at least three fatal flaws.</w:t>
      </w:r>
    </w:p>
    <w:p w:rsidR="5AC23847" w:rsidP="665ED54E" w:rsidRDefault="5AC23847" w14:paraId="0CC593AE" w14:textId="4465A6C0">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Confounding Variables and Global Context:</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data fails to control for the single most important driver of growth: the global economic cycle. The years are not comparable. The year 2000 represents the peak of the dot-com bubble, which artificially inflated growth. The year 2010 is not a "normal" year but a period of sharp "rebound" from the 2008-2009 global financial crisis, explaining the high volatility. The 2019 data represents a pre-pandemic "new normal" of secular stagnation. The general trend of "high growth in 2000, low growth in 2019" is far more plausibly explained by these global trends than by modest changes in social spending.</w:t>
      </w:r>
    </w:p>
    <w:p w:rsidR="5AC23847" w:rsidP="665ED54E" w:rsidRDefault="5AC23847" w14:paraId="344843B6" w14:textId="7380D632">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Fallacy of Simple Causality: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hypothesis assumes a one-way causal street: high spending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causes</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low growth. But it is just as, if not more, plausible that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low growth </w:t>
      </w:r>
      <w:r w:rsidRPr="665ED54E" w:rsidR="5AC23847">
        <w:rPr>
          <w:rFonts w:ascii="Times New Roman" w:hAnsi="Times New Roman" w:eastAsia="Times New Roman" w:cs="Times New Roman"/>
          <w:b w:val="1"/>
          <w:bCs w:val="1"/>
          <w:i w:val="1"/>
          <w:iCs w:val="1"/>
          <w:caps w:val="0"/>
          <w:smallCaps w:val="0"/>
          <w:noProof w:val="0"/>
          <w:color w:val="000000" w:themeColor="text1" w:themeTint="FF" w:themeShade="FF"/>
          <w:sz w:val="22"/>
          <w:szCs w:val="22"/>
          <w:lang w:val="en-US"/>
        </w:rPr>
        <w:t>causes</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high social spending.</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During a recession (low growth), social spending as a percentage of GDP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automatically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increases for two reasons: the denominator (GDP) shrinks, and the numerator (spending) increases through "automatic stabilizers" like unemployment benefits (Alesina &amp; Giavazzi, 2006). This automatic, counter-cyclical relationship would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create the statistical illusion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an inverse correlation, even if the underlying causal relationship is non-existent or even positive.</w:t>
      </w:r>
    </w:p>
    <w:p w:rsidR="5AC23847" w:rsidP="665ED54E" w:rsidRDefault="5AC23847" w14:paraId="2DB72799" w14:textId="75187B80">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Crude Metrics and Composition: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The data is </w:t>
      </w:r>
      <w:r w:rsidRPr="665ED54E" w:rsidR="5AC2384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synchronic</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it compares spending and growth in the same year, ignoring the lags (e.g., spending on education today pays growth dividends in a decade) (Kenworthy, 2007). Furthermore, it treats all "social spending" as a monolith. This ignores the vast differences in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how</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money is spent. As Gøsta Esping-Andersen (1990) famously argued, the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structure</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the welfare state—whether it provides passive transfers (which may disincentivize work) or promotes active labor market participation (as in Scandinavia)—matters far more than the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level</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spending.</w:t>
      </w:r>
    </w:p>
    <w:p w:rsidR="665ED54E" w:rsidP="665ED54E" w:rsidRDefault="665ED54E" w14:paraId="282E49DB" w14:textId="1234B066">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AC23847" w:rsidP="665ED54E" w:rsidRDefault="5AC23847" w14:paraId="29C2E1C5" w14:textId="521BF30D">
      <w:pPr>
        <w:pStyle w:val="Heading4"/>
        <w:keepNext w:val="1"/>
        <w:keepLines w:val="1"/>
        <w:spacing w:before="319" w:beforeAutospacing="off" w:after="319" w:afterAutospacing="off"/>
        <w:rPr>
          <w:rFonts w:ascii="Times New Roman" w:hAnsi="Times New Roman" w:eastAsia="Times New Roman" w:cs="Times New Roman"/>
          <w:b w:val="0"/>
          <w:bCs w:val="0"/>
          <w:i w:val="1"/>
          <w:iCs w:val="1"/>
          <w:caps w:val="0"/>
          <w:smallCaps w:val="0"/>
          <w:noProof w:val="0"/>
          <w:color w:val="0F4761" w:themeColor="accent1" w:themeTint="FF" w:themeShade="BF"/>
          <w:sz w:val="22"/>
          <w:szCs w:val="22"/>
          <w:lang w:val="en-US"/>
        </w:rPr>
      </w:pPr>
      <w:r w:rsidRPr="665ED54E" w:rsidR="5AC23847">
        <w:rPr>
          <w:rFonts w:ascii="Times New Roman" w:hAnsi="Times New Roman" w:eastAsia="Times New Roman" w:cs="Times New Roman"/>
          <w:b w:val="1"/>
          <w:bCs w:val="1"/>
          <w:i w:val="1"/>
          <w:iCs w:val="1"/>
          <w:caps w:val="0"/>
          <w:smallCaps w:val="0"/>
          <w:noProof w:val="0"/>
          <w:color w:val="0F4761" w:themeColor="accent1" w:themeTint="FF" w:themeShade="BF"/>
          <w:sz w:val="22"/>
          <w:szCs w:val="22"/>
          <w:lang w:val="en-US"/>
        </w:rPr>
        <w:t>Conclusion: Rejecting the Premise</w:t>
      </w:r>
    </w:p>
    <w:p w:rsidR="5AC23847" w:rsidP="665ED54E" w:rsidRDefault="5AC23847" w14:paraId="73D93B6E" w14:textId="100FF1C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provided data fails to substantiate the hypothesis that social service spending is inversely related to economic growth. The argument relies on a few superficial correlations that are immediately undone by a wealth of contradictory evidence. The data from 2019 (France) and 2010 (Sweden vs. Spain) decisively proves that high-spending countries can outperform low-spending ones, and that other factors are clearly more dominant.</w:t>
      </w:r>
    </w:p>
    <w:p w:rsidR="5AC23847" w:rsidP="665ED54E" w:rsidRDefault="5AC23847" w14:paraId="5BA3616A" w14:textId="3314E27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essay's informed evaluation must, therefore, place the methodological critiques in priority. The "finding" is not in the data itself, but in the data's failure. This failure is a direct consequence of the hypothesis's simplistic assumptions, which ignore reverse causality, global context, and the fundamental importance of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how</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 state spends its money.</w:t>
      </w:r>
    </w:p>
    <w:p w:rsidR="5AC23847" w:rsidP="665ED54E" w:rsidRDefault="5AC23847" w14:paraId="3B3E991D" w14:textId="71765AFB">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academic consensus, informed by extensive historical research like Peter Lindert’s (2004), has already moved past this simplistic dichotomy. Lindert's "paradox" notes that high-spending welfare states have prospered for a century without the predicted economic collapse. To truly assess the relationship, one would require a far more robust analysis that moves beyond the crude metric of "% of GDP" and instead investigates the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composition</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of social spending and its interaction with labor market institutions. Based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only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on the data provided, the hypothesis is not supported. The data does not show a clear inverse relationship; rather, it suggests that no such simple, universal rule exists.</w:t>
      </w:r>
    </w:p>
    <w:p w:rsidR="665ED54E" w:rsidP="665ED54E" w:rsidRDefault="665ED54E" w14:paraId="324E55A2" w14:textId="1B8BB80C">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5AC23847" w:rsidP="665ED54E" w:rsidRDefault="5AC23847" w14:paraId="75041277" w14:textId="4CAA6C24">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F4761" w:themeColor="accent1" w:themeTint="FF" w:themeShade="BF"/>
          <w:sz w:val="22"/>
          <w:szCs w:val="22"/>
          <w:lang w:val="en-US"/>
        </w:rPr>
      </w:pPr>
      <w:r w:rsidRPr="665ED54E" w:rsidR="5AC23847">
        <w:rPr>
          <w:rFonts w:ascii="Times New Roman" w:hAnsi="Times New Roman" w:eastAsia="Times New Roman" w:cs="Times New Roman"/>
          <w:b w:val="1"/>
          <w:bCs w:val="1"/>
          <w:i w:val="0"/>
          <w:iCs w:val="0"/>
          <w:caps w:val="0"/>
          <w:smallCaps w:val="0"/>
          <w:noProof w:val="0"/>
          <w:color w:val="0F4761" w:themeColor="accent1" w:themeTint="FF" w:themeShade="BF"/>
          <w:sz w:val="22"/>
          <w:szCs w:val="22"/>
          <w:lang w:val="en-US"/>
        </w:rPr>
        <w:t>References</w:t>
      </w:r>
    </w:p>
    <w:p w:rsidR="5AC23847" w:rsidP="665ED54E" w:rsidRDefault="5AC23847" w14:paraId="7A09CA24" w14:textId="7F717C84">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Alesina, A., &amp; Giavazzi, F. (2006).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Future of Europe: Reform or Decline</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MIT Press.</w:t>
      </w:r>
    </w:p>
    <w:p w:rsidR="5AC23847" w:rsidP="665ED54E" w:rsidRDefault="5AC23847" w14:paraId="05930174" w14:textId="7C42D87C">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Esping-Andersen, G. (1990).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The Three Worlds of Welfare Capitalism</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Princeton University Press.</w:t>
      </w:r>
    </w:p>
    <w:p w:rsidR="5AC23847" w:rsidP="665ED54E" w:rsidRDefault="5AC23847" w14:paraId="36EF94EF" w14:textId="3C57607C">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Kenworthy, L. (2007). Does Social Policy Harm the Economy? A Reassessment.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Social Forces</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86(1), 1-26.</w:t>
      </w:r>
    </w:p>
    <w:p w:rsidR="5AC23847" w:rsidP="665ED54E" w:rsidRDefault="5AC23847" w14:paraId="35101CD5" w14:textId="027D0805">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Lindert, P. H. (2004).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Growing Public: Social Spending and Economic Growth Since the Eighteenth Century</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Cambridge University Press.</w:t>
      </w:r>
    </w:p>
    <w:p w:rsidR="5AC23847" w:rsidP="665ED54E" w:rsidRDefault="5AC23847" w14:paraId="6A2F71EB" w14:textId="1BA10A60">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Tanzi, V., &amp; Schuknecht, L. (2000). </w:t>
      </w:r>
      <w:r w:rsidRPr="665ED54E" w:rsidR="5AC23847">
        <w:rPr>
          <w:rFonts w:ascii="Times New Roman" w:hAnsi="Times New Roman" w:eastAsia="Times New Roman" w:cs="Times New Roman"/>
          <w:b w:val="0"/>
          <w:bCs w:val="0"/>
          <w:i w:val="1"/>
          <w:iCs w:val="1"/>
          <w:caps w:val="0"/>
          <w:smallCaps w:val="0"/>
          <w:noProof w:val="0"/>
          <w:color w:val="000000" w:themeColor="text1" w:themeTint="FF" w:themeShade="FF"/>
          <w:sz w:val="22"/>
          <w:szCs w:val="22"/>
          <w:lang w:val="en-US"/>
        </w:rPr>
        <w:t>Public Spending in the 20th Century: A Global Perspective</w:t>
      </w:r>
      <w:r w:rsidRPr="665ED54E" w:rsidR="5AC23847">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Cambridge University Press.</w:t>
      </w:r>
    </w:p>
    <w:p w:rsidR="665ED54E" w:rsidP="665ED54E" w:rsidRDefault="665ED54E" w14:paraId="05663EBE" w14:textId="1F2E2C5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nsid w:val="64709c5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6aa8e5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7334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ce5e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ab7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E6E97C"/>
    <w:rsid w:val="5AC23847"/>
    <w:rsid w:val="665ED54E"/>
    <w:rsid w:val="6AE6E97C"/>
    <w:rsid w:val="74DFB382"/>
    <w:rsid w:val="76969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6E97C"/>
  <w15:chartTrackingRefBased/>
  <w15:docId w15:val="{D6315725-39C9-4942-90AC-CA36F2C6C4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DFB382"/>
    <w:pPr>
      <w:spacing/>
      <w:ind w:left="720"/>
      <w:contextualSpacing/>
    </w:pPr>
  </w:style>
  <w:style w:type="paragraph" w:styleId="Heading3">
    <w:uiPriority w:val="9"/>
    <w:name w:val="heading 3"/>
    <w:basedOn w:val="Normal"/>
    <w:next w:val="Normal"/>
    <w:unhideWhenUsed/>
    <w:qFormat/>
    <w:rsid w:val="665ED54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65ED54E"/>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98f5255d514e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2025-11-04T16:11:22.1416507Z</dcterms:created>
  <dcterms:modified xsi:type="dcterms:W3CDTF">2025-11-23T18:02:38.1969020Z</dcterms:modified>
  <dc:creator>HuuThanhVy Nguyen</dc:creator>
  <lastModifiedBy>HuuThanhVy Nguyen</lastModifiedBy>
</coreProperties>
</file>