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D5D1B4C" w14:textId="77777777" w:rsidR="00D077E9" w:rsidRDefault="00AB02A7" w:rsidP="00D70D02">
      <w:pPr>
        <w:rPr>
          <w:noProof/>
        </w:rPr>
      </w:pPr>
      <w:r>
        <w:rPr>
          <w:noProof/>
          <w:lang w:bidi="es-ES"/>
        </w:rPr>
        <mc:AlternateContent>
          <mc:Choice Requires="wps">
            <w:drawing>
              <wp:anchor distT="0" distB="0" distL="114300" distR="114300" simplePos="0" relativeHeight="251660288" behindDoc="1" locked="0" layoutInCell="1" allowOverlap="1" wp14:anchorId="770AF2E9" wp14:editId="7A15D7D7">
                <wp:simplePos x="0" y="0"/>
                <wp:positionH relativeFrom="column">
                  <wp:posOffset>-202474</wp:posOffset>
                </wp:positionH>
                <wp:positionV relativeFrom="page">
                  <wp:posOffset>938150</wp:posOffset>
                </wp:positionV>
                <wp:extent cx="3938905" cy="8657111"/>
                <wp:effectExtent l="0" t="0" r="4445" b="0"/>
                <wp:wrapNone/>
                <wp:docPr id="3" name="Rectángulo 3" descr="rectángulo blanco para texto en portada"/>
                <wp:cNvGraphicFramePr/>
                <a:graphic xmlns:a="http://schemas.openxmlformats.org/drawingml/2006/main">
                  <a:graphicData uri="http://schemas.microsoft.com/office/word/2010/wordprocessingShape">
                    <wps:wsp>
                      <wps:cNvSpPr/>
                      <wps:spPr>
                        <a:xfrm>
                          <a:off x="0" y="0"/>
                          <a:ext cx="3938905" cy="8657111"/>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F2F59BE" id="Rectángulo 3" o:spid="_x0000_s1026" alt="rectángulo blanco para texto en portada" style="position:absolute;margin-left:-15.95pt;margin-top:73.85pt;width:310.15pt;height:681.65pt;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" fillcolor="white [3212]" stroked="f" strokeweight="2pt">
                <w10:wrap anchory="page"/>
              </v:rect>
            </w:pict>
          </mc:Fallback>
        </mc:AlternateContent>
      </w:r>
      <w:r w:rsidR="00D077E9">
        <w:rPr>
          <w:noProof/>
          <w:lang w:bidi="es-ES"/>
        </w:rPr>
        <w:drawing>
          <wp:anchor distT="0" distB="0" distL="114300" distR="114300" simplePos="0" relativeHeight="251658240" behindDoc="1" locked="0" layoutInCell="1" allowOverlap="1" wp14:anchorId="33065568" wp14:editId="15074BD4">
            <wp:simplePos x="0" y="0"/>
            <wp:positionH relativeFrom="column">
              <wp:posOffset>-746975</wp:posOffset>
            </wp:positionH>
            <wp:positionV relativeFrom="page">
              <wp:posOffset>-12700</wp:posOffset>
            </wp:positionV>
            <wp:extent cx="7760970" cy="6684010"/>
            <wp:effectExtent l="0" t="0" r="0" b="2540"/>
            <wp:wrapNone/>
            <wp:docPr id="1" name="Imagen 1" descr="vista de la calle con edificios, establecimientos y cantantes de cal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7-11.jpg"/>
                    <pic:cNvPicPr/>
                  </pic:nvPicPr>
                  <pic:blipFill>
                    <a:blip r:embed="rId9" cstate="print">
                      <a:extLst>
                        <a:ext uri="{28A0092B-C50C-407E-A947-70E740481C1C}">
                          <a14:useLocalDpi xmlns:a14="http://schemas.microsoft.com/office/drawing/2010/main" val="0"/>
                        </a:ext>
                      </a:extLst>
                    </a:blip>
                    <a:stretch>
                      <a:fillRect/>
                    </a:stretch>
                  </pic:blipFill>
                  <pic:spPr>
                    <a:xfrm>
                      <a:off x="0" y="0"/>
                      <a:ext cx="7760970" cy="6684010"/>
                    </a:xfrm>
                    <a:prstGeom prst="rect">
                      <a:avLst/>
                    </a:prstGeom>
                  </pic:spPr>
                </pic:pic>
              </a:graphicData>
            </a:graphic>
            <wp14:sizeRelH relativeFrom="margin">
              <wp14:pctWidth>0</wp14:pctWidth>
            </wp14:sizeRelH>
            <wp14:sizeRelV relativeFrom="margin">
              <wp14:pctHeight>0</wp14:pctHeight>
            </wp14:sizeRelV>
          </wp:anchor>
        </w:drawing>
      </w:r>
    </w:p>
    <w:tbl>
      <w:tblPr>
        <w:tblpPr w:leftFromText="180" w:rightFromText="180" w:vertAnchor="text" w:horzAnchor="margin" w:tblpY="-7"/>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5580"/>
      </w:tblGrid>
      <w:tr w:rsidR="00D077E9" w14:paraId="0DAE3A7F" w14:textId="77777777" w:rsidTr="00AB02A7">
        <w:trPr>
          <w:trHeight w:val="1894"/>
        </w:trPr>
        <w:tc>
          <w:tcPr>
            <w:tcW w:w="5580" w:type="dxa"/>
            <w:tcBorders>
              <w:top w:val="nil"/>
              <w:left w:val="nil"/>
              <w:bottom w:val="nil"/>
              <w:right w:val="nil"/>
            </w:tcBorders>
          </w:tcPr>
          <w:p w14:paraId="27ED3284" w14:textId="77777777" w:rsidR="00D077E9" w:rsidRDefault="00D077E9" w:rsidP="00AB02A7">
            <w:pPr>
              <w:rPr>
                <w:noProof/>
              </w:rPr>
            </w:pPr>
            <w:r>
              <w:rPr>
                <w:noProof/>
                <w:lang w:bidi="es-ES"/>
              </w:rPr>
              <mc:AlternateContent>
                <mc:Choice Requires="wps">
                  <w:drawing>
                    <wp:inline distT="0" distB="0" distL="0" distR="0" wp14:anchorId="53F4BDB6" wp14:editId="46BC986F">
                      <wp:extent cx="3528695" cy="1733550"/>
                      <wp:effectExtent l="0" t="0" r="0" b="3810"/>
                      <wp:docPr id="8" name="Cuadro de texto 8"/>
                      <wp:cNvGraphicFramePr/>
                      <a:graphic xmlns:a="http://schemas.openxmlformats.org/drawingml/2006/main">
                        <a:graphicData uri="http://schemas.microsoft.com/office/word/2010/wordprocessingShape">
                          <wps:wsp>
                            <wps:cNvSpPr txBox="1"/>
                            <wps:spPr>
                              <a:xfrm>
                                <a:off x="0" y="0"/>
                                <a:ext cx="3528695" cy="1733550"/>
                              </a:xfrm>
                              <a:prstGeom prst="rect">
                                <a:avLst/>
                              </a:prstGeom>
                              <a:noFill/>
                              <a:ln w="6350">
                                <a:noFill/>
                              </a:ln>
                            </wps:spPr>
                            <wps:txbx>
                              <w:txbxContent>
                                <w:p w14:paraId="278F59E6" w14:textId="7AB5A440" w:rsidR="00D077E9" w:rsidRPr="00D86945" w:rsidRDefault="00F33843" w:rsidP="00F33843">
                                  <w:pPr>
                                    <w:pStyle w:val="Title"/>
                                  </w:pPr>
                                  <w:r>
                                    <w:rPr>
                                      <w:lang w:bidi="es-ES"/>
                                    </w:rPr>
                                    <w:t>Financial Diagnostic Memo</w:t>
                                  </w:r>
                                  <w:r w:rsidR="00D55E43">
                                    <w:rPr>
                                      <w:lang w:bidi="es-ES"/>
                                    </w:rPr>
                                    <w:t xml:space="preserve"> Part1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type w14:anchorId="53F4BDB6" id="_x0000_t202" coordsize="21600,21600" o:spt="202" path="m,l,21600r21600,l21600,xe">
                      <v:stroke joinstyle="miter"/>
                      <v:path gradientshapeok="t" o:connecttype="rect"/>
                    </v:shapetype>
                    <v:shape id="Cuadro de texto 8" o:spid="_x0000_s1026" type="#_x0000_t202" style="width:277.85pt;height:136.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" filled="f" stroked="f" strokeweight=".5pt">
                      <v:textbox>
                        <w:txbxContent>
                          <w:p w14:paraId="278F59E6" w14:textId="7AB5A440" w:rsidR="00D077E9" w:rsidRPr="00D86945" w:rsidRDefault="00F33843" w:rsidP="00F33843">
                            <w:pPr>
                              <w:pStyle w:val="Title"/>
                            </w:pPr>
                            <w:r>
                              <w:rPr>
                                <w:lang w:bidi="es-ES"/>
                              </w:rPr>
                              <w:t>Financial Diagnostic Memo</w:t>
                            </w:r>
                            <w:r w:rsidR="00D55E43">
                              <w:rPr>
                                <w:lang w:bidi="es-ES"/>
                              </w:rPr>
                              <w:t xml:space="preserve"> Part1</w:t>
                            </w:r>
                          </w:p>
                        </w:txbxContent>
                      </v:textbox>
                      <w10:anchorlock/>
                    </v:shape>
                  </w:pict>
                </mc:Fallback>
              </mc:AlternateContent>
            </w:r>
          </w:p>
          <w:p w14:paraId="51B7A7D3" w14:textId="77777777" w:rsidR="00D077E9" w:rsidRDefault="00D077E9" w:rsidP="00AB02A7">
            <w:pPr>
              <w:rPr>
                <w:noProof/>
              </w:rPr>
            </w:pPr>
            <w:r>
              <w:rPr>
                <w:noProof/>
                <w:lang w:bidi="es-ES"/>
              </w:rPr>
              <mc:AlternateContent>
                <mc:Choice Requires="wps">
                  <w:drawing>
                    <wp:inline distT="0" distB="0" distL="0" distR="0" wp14:anchorId="0A46F9BB" wp14:editId="5FE741E4">
                      <wp:extent cx="1390918" cy="0"/>
                      <wp:effectExtent l="0" t="19050" r="19050" b="19050"/>
                      <wp:docPr id="5" name="Conector recto 5" descr="divisor de texto"/>
                      <wp:cNvGraphicFramePr/>
                      <a:graphic xmlns:a="http://schemas.openxmlformats.org/drawingml/2006/main">
                        <a:graphicData uri="http://schemas.microsoft.com/office/word/2010/wordprocessingShape">
                          <wps:wsp>
                            <wps:cNvCnPr/>
                            <wps:spPr>
                              <a:xfrm>
                                <a:off x="0" y="0"/>
                                <a:ext cx="1390918" cy="0"/>
                              </a:xfrm>
                              <a:prstGeom prst="line">
                                <a:avLst/>
                              </a:prstGeom>
                              <a:ln w="38100">
                                <a:solidFill>
                                  <a:schemeClr val="tx2"/>
                                </a:solidFill>
                              </a:ln>
                            </wps:spPr>
                            <wps:style>
                              <a:lnRef idx="1">
                                <a:schemeClr val="accent1"/>
                              </a:lnRef>
                              <a:fillRef idx="0">
                                <a:schemeClr val="accent1"/>
                              </a:fillRef>
                              <a:effectRef idx="0">
                                <a:schemeClr val="accent1"/>
                              </a:effectRef>
                              <a:fontRef idx="minor">
                                <a:schemeClr val="tx1"/>
                              </a:fontRef>
                            </wps:style>
                            <wps:bodyPr/>
                          </wps:wsp>
                        </a:graphicData>
                      </a:graphic>
                    </wp:inline>
                  </w:drawing>
                </mc:Choice>
                <mc:Fallback>
                  <w:pict>
                    <v:line w14:anchorId="5A9DB19E" id="Conector recto 5" o:spid="_x0000_s1026" alt="divisor de texto" style="visibility:visible;mso-wrap-style:square;mso-left-percent:-10001;mso-top-percent:-10001;mso-position-horizontal:absolute;mso-position-horizontal-relative:char;mso-position-vertical:absolute;mso-position-vertical-relative:line;mso-left-percent:-10001;mso-top-percent:-10001" from="0,0" to="109.5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" strokecolor="#082a75 [3215]" strokeweight="3pt">
                      <w10:anchorlock/>
                    </v:line>
                  </w:pict>
                </mc:Fallback>
              </mc:AlternateContent>
            </w:r>
          </w:p>
        </w:tc>
      </w:tr>
      <w:tr w:rsidR="00D077E9" w14:paraId="53356D3C" w14:textId="77777777" w:rsidTr="004E5FEE">
        <w:trPr>
          <w:trHeight w:val="7303"/>
        </w:trPr>
        <w:tc>
          <w:tcPr>
            <w:tcW w:w="5580" w:type="dxa"/>
            <w:tcBorders>
              <w:top w:val="nil"/>
              <w:left w:val="nil"/>
              <w:bottom w:val="nil"/>
              <w:right w:val="nil"/>
            </w:tcBorders>
          </w:tcPr>
          <w:p w14:paraId="7006E2BD" w14:textId="77777777" w:rsidR="00D077E9" w:rsidRDefault="00D077E9" w:rsidP="00AB02A7">
            <w:pPr>
              <w:rPr>
                <w:noProof/>
              </w:rPr>
            </w:pPr>
          </w:p>
        </w:tc>
      </w:tr>
      <w:tr w:rsidR="00D077E9" w14:paraId="5A6A9A4B" w14:textId="77777777" w:rsidTr="00AB02A7">
        <w:trPr>
          <w:trHeight w:val="2438"/>
        </w:trPr>
        <w:tc>
          <w:tcPr>
            <w:tcW w:w="5580" w:type="dxa"/>
            <w:tcBorders>
              <w:top w:val="nil"/>
              <w:left w:val="nil"/>
              <w:bottom w:val="nil"/>
              <w:right w:val="nil"/>
            </w:tcBorders>
          </w:tcPr>
          <w:sdt>
            <w:sdtPr>
              <w:rPr>
                <w:noProof/>
              </w:rPr>
              <w:id w:val="1080870105"/>
              <w:placeholder>
                <w:docPart w:val="EA00C431018B41098F55FA780F7C6CBE"/>
              </w:placeholder>
              <w15:appearance w15:val="hidden"/>
            </w:sdtPr>
            <w:sdtContent>
              <w:p w14:paraId="43AC8B4F" w14:textId="12933DEE" w:rsidR="00D077E9" w:rsidRDefault="000747A0" w:rsidP="00AB02A7">
                <w:pPr>
                  <w:rPr>
                    <w:noProof/>
                  </w:rPr>
                </w:pPr>
                <w:r>
                  <w:rPr>
                    <w:rStyle w:val="SubtitleChar"/>
                    <w:b w:val="0"/>
                    <w:noProof/>
                    <w:lang w:bidi="es-ES"/>
                  </w:rPr>
                  <w:fldChar w:fldCharType="begin"/>
                </w:r>
                <w:r>
                  <w:rPr>
                    <w:rStyle w:val="SubtitleChar"/>
                    <w:b w:val="0"/>
                    <w:noProof/>
                    <w:lang w:bidi="es-ES"/>
                  </w:rPr>
                  <w:instrText xml:space="preserve"> DATE  \@ "d MMMM"  \* MERGEFORMAT </w:instrText>
                </w:r>
                <w:r>
                  <w:rPr>
                    <w:rStyle w:val="SubtitleChar"/>
                    <w:b w:val="0"/>
                    <w:noProof/>
                    <w:lang w:bidi="es-ES"/>
                  </w:rPr>
                  <w:fldChar w:fldCharType="separate"/>
                </w:r>
                <w:r w:rsidR="001A04E7">
                  <w:rPr>
                    <w:rStyle w:val="SubtitleChar"/>
                    <w:b w:val="0"/>
                    <w:noProof/>
                    <w:lang w:bidi="es-ES"/>
                  </w:rPr>
                  <w:t>5 abril</w:t>
                </w:r>
                <w:r>
                  <w:rPr>
                    <w:rStyle w:val="SubtitleChar"/>
                    <w:b w:val="0"/>
                    <w:noProof/>
                    <w:lang w:bidi="es-ES"/>
                  </w:rPr>
                  <w:fldChar w:fldCharType="end"/>
                </w:r>
              </w:p>
            </w:sdtContent>
          </w:sdt>
          <w:p w14:paraId="4D6940D9" w14:textId="77777777" w:rsidR="00D077E9" w:rsidRDefault="00D077E9" w:rsidP="00AB02A7">
            <w:pPr>
              <w:rPr>
                <w:noProof/>
                <w:sz w:val="10"/>
                <w:szCs w:val="10"/>
              </w:rPr>
            </w:pPr>
            <w:r w:rsidRPr="00D86945">
              <w:rPr>
                <w:noProof/>
                <w:sz w:val="10"/>
                <w:szCs w:val="10"/>
                <w:lang w:bidi="es-ES"/>
              </w:rPr>
              <mc:AlternateContent>
                <mc:Choice Requires="wps">
                  <w:drawing>
                    <wp:inline distT="0" distB="0" distL="0" distR="0" wp14:anchorId="45D7A231" wp14:editId="7C760DE2">
                      <wp:extent cx="1493949" cy="0"/>
                      <wp:effectExtent l="0" t="19050" r="30480" b="19050"/>
                      <wp:docPr id="6" name="Conector recto 6" descr="divisor de texto"/>
                      <wp:cNvGraphicFramePr/>
                      <a:graphic xmlns:a="http://schemas.openxmlformats.org/drawingml/2006/main">
                        <a:graphicData uri="http://schemas.microsoft.com/office/word/2010/wordprocessingShape">
                          <wps:wsp>
                            <wps:cNvCnPr/>
                            <wps:spPr>
                              <a:xfrm>
                                <a:off x="0" y="0"/>
                                <a:ext cx="1493949" cy="0"/>
                              </a:xfrm>
                              <a:prstGeom prst="line">
                                <a:avLst/>
                              </a:prstGeom>
                              <a:ln w="38100">
                                <a:solidFill>
                                  <a:schemeClr val="tx2"/>
                                </a:solidFill>
                              </a:ln>
                            </wps:spPr>
                            <wps:style>
                              <a:lnRef idx="1">
                                <a:schemeClr val="accent1"/>
                              </a:lnRef>
                              <a:fillRef idx="0">
                                <a:schemeClr val="accent1"/>
                              </a:fillRef>
                              <a:effectRef idx="0">
                                <a:schemeClr val="accent1"/>
                              </a:effectRef>
                              <a:fontRef idx="minor">
                                <a:schemeClr val="tx1"/>
                              </a:fontRef>
                            </wps:style>
                            <wps:bodyPr/>
                          </wps:wsp>
                        </a:graphicData>
                      </a:graphic>
                    </wp:inline>
                  </w:drawing>
                </mc:Choice>
                <mc:Fallback>
                  <w:pict>
                    <v:line w14:anchorId="1C3551A7" id="Conector recto 6" o:spid="_x0000_s1026" alt="divisor de texto" style="visibility:visible;mso-wrap-style:square;mso-left-percent:-10001;mso-top-percent:-10001;mso-position-horizontal:absolute;mso-position-horizontal-relative:char;mso-position-vertical:absolute;mso-position-vertical-relative:line;mso-left-percent:-10001;mso-top-percent:-10001" from="0,0" to="117.65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" strokecolor="#082a75 [3215]" strokeweight="3pt">
                      <w10:anchorlock/>
                    </v:line>
                  </w:pict>
                </mc:Fallback>
              </mc:AlternateContent>
            </w:r>
          </w:p>
          <w:p w14:paraId="59E994EE" w14:textId="77777777" w:rsidR="00D077E9" w:rsidRDefault="00D077E9" w:rsidP="00AB02A7">
            <w:pPr>
              <w:rPr>
                <w:noProof/>
                <w:sz w:val="10"/>
                <w:szCs w:val="10"/>
              </w:rPr>
            </w:pPr>
          </w:p>
          <w:p w14:paraId="71034EF7" w14:textId="77777777" w:rsidR="00D077E9" w:rsidRDefault="00D077E9" w:rsidP="00AB02A7">
            <w:pPr>
              <w:rPr>
                <w:noProof/>
                <w:sz w:val="10"/>
                <w:szCs w:val="10"/>
              </w:rPr>
            </w:pPr>
          </w:p>
          <w:p w14:paraId="26F95823" w14:textId="6F568B7F" w:rsidR="00D077E9" w:rsidRDefault="00000000" w:rsidP="00AB02A7">
            <w:pPr>
              <w:rPr>
                <w:noProof/>
              </w:rPr>
            </w:pPr>
            <w:sdt>
              <w:sdtPr>
                <w:rPr>
                  <w:noProof/>
                </w:rPr>
                <w:id w:val="-1740469667"/>
                <w:placeholder>
                  <w:docPart w:val="E2C491F9A00D47E98F3589E8397904F7"/>
                </w:placeholder>
                <w15:appearance w15:val="hidden"/>
              </w:sdtPr>
              <w:sdtContent>
                <w:r w:rsidR="00F33843" w:rsidRPr="00F33843">
                  <w:rPr>
                    <w:noProof/>
                  </w:rPr>
                  <w:t xml:space="preserve">Coastal Risk Advisors, LLC </w:t>
                </w:r>
              </w:sdtContent>
            </w:sdt>
          </w:p>
          <w:p w14:paraId="46B6FAAD" w14:textId="375F9A62" w:rsidR="00D077E9" w:rsidRDefault="00D077E9" w:rsidP="00AB02A7">
            <w:pPr>
              <w:rPr>
                <w:noProof/>
              </w:rPr>
            </w:pPr>
            <w:r w:rsidRPr="00B231E5">
              <w:rPr>
                <w:noProof/>
                <w:lang w:bidi="es-ES"/>
              </w:rPr>
              <w:t xml:space="preserve">Creado por: </w:t>
            </w:r>
            <w:sdt>
              <w:sdtPr>
                <w:rPr>
                  <w:noProof/>
                </w:rPr>
                <w:alias w:val="Su nombre"/>
                <w:tag w:val="Su nombre"/>
                <w:id w:val="-180584491"/>
                <w:placeholder>
                  <w:docPart w:val="54187415001E44B5935265CE1691A5C3"/>
                </w:placeholder>
                <w:dataBinding w:prefixMappings="xmlns:ns0='http://schemas.microsoft.com/office/2006/coverPageProps' " w:xpath="/ns0:CoverPageProperties[1]/ns0:CompanyFax[1]" w:storeItemID="{55AF091B-3C7A-41E3-B477-F2FDAA23CFDA}"/>
                <w15:appearance w15:val="hidden"/>
                <w:text w:multiLine="1"/>
              </w:sdtPr>
              <w:sdtContent>
                <w:r w:rsidR="00F33843">
                  <w:rPr>
                    <w:noProof/>
                  </w:rPr>
                  <w:t>Patricia Ramirez Cifuentes</w:t>
                </w:r>
              </w:sdtContent>
            </w:sdt>
          </w:p>
          <w:p w14:paraId="74BB8F05" w14:textId="77777777" w:rsidR="00D077E9" w:rsidRPr="00D86945" w:rsidRDefault="00D077E9" w:rsidP="00AB02A7">
            <w:pPr>
              <w:rPr>
                <w:noProof/>
                <w:sz w:val="10"/>
                <w:szCs w:val="10"/>
              </w:rPr>
            </w:pPr>
          </w:p>
        </w:tc>
      </w:tr>
    </w:tbl>
    <w:p w14:paraId="46AE033E" w14:textId="77777777" w:rsidR="00D077E9" w:rsidRDefault="00AB02A7">
      <w:pPr>
        <w:spacing w:after="200"/>
        <w:rPr>
          <w:noProof/>
        </w:rPr>
      </w:pPr>
      <w:r w:rsidRPr="00D967AC">
        <w:rPr>
          <w:noProof/>
          <w:lang w:bidi="es-ES"/>
        </w:rPr>
        <w:drawing>
          <wp:anchor distT="0" distB="0" distL="114300" distR="114300" simplePos="0" relativeHeight="251661312" behindDoc="0" locked="0" layoutInCell="1" allowOverlap="1" wp14:anchorId="57FFA05E" wp14:editId="04B82D5D">
            <wp:simplePos x="0" y="0"/>
            <wp:positionH relativeFrom="column">
              <wp:posOffset>4949190</wp:posOffset>
            </wp:positionH>
            <wp:positionV relativeFrom="paragraph">
              <wp:posOffset>7833359</wp:posOffset>
            </wp:positionV>
            <wp:extent cx="1786904" cy="561975"/>
            <wp:effectExtent l="0" t="0" r="0" b="0"/>
            <wp:wrapNone/>
            <wp:docPr id="12" name="Gráfico 201" descr="marcador-de-posición-de-logotipo">
              <a:extLst xmlns:a="http://schemas.openxmlformats.org/drawingml/2006/main">
                <a:ext uri="{FF2B5EF4-FFF2-40B4-BE49-F238E27FC236}">
                  <a16:creationId xmlns:a16="http://schemas.microsoft.com/office/drawing/2014/main" id="{F3D65186-AB5A-4584-87C3-0FAA2992263B}"/>
                </a:ext>
              </a:extLst>
            </wp:docPr>
            <wp:cNvGraphicFramePr/>
            <a:graphic xmlns:a="http://schemas.openxmlformats.org/drawingml/2006/main">
              <a:graphicData uri="http://schemas.openxmlformats.org/drawingml/2006/picture">
                <pic:pic xmlns:pic="http://schemas.openxmlformats.org/drawingml/2006/picture">
                  <pic:nvPicPr>
                    <pic:cNvPr id="12" name="Gráfico 201" descr="marcador-de-posición-de-logotipo">
                      <a:extLst>
                        <a:ext uri="{FF2B5EF4-FFF2-40B4-BE49-F238E27FC236}">
                          <a16:creationId xmlns:a16="http://schemas.microsoft.com/office/drawing/2014/main" id="{F3D65186-AB5A-4584-87C3-0FAA2992263B}"/>
                        </a:ext>
                      </a:extLst>
                    </pic:cNvPr>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803303" cy="567132"/>
                    </a:xfrm>
                    <a:prstGeom prst="rect">
                      <a:avLst/>
                    </a:prstGeom>
                  </pic:spPr>
                </pic:pic>
              </a:graphicData>
            </a:graphic>
            <wp14:sizeRelH relativeFrom="margin">
              <wp14:pctWidth>0</wp14:pctWidth>
            </wp14:sizeRelH>
            <wp14:sizeRelV relativeFrom="margin">
              <wp14:pctHeight>0</wp14:pctHeight>
            </wp14:sizeRelV>
          </wp:anchor>
        </w:drawing>
      </w:r>
      <w:r>
        <w:rPr>
          <w:noProof/>
          <w:lang w:bidi="es-ES"/>
        </w:rPr>
        <mc:AlternateContent>
          <mc:Choice Requires="wps">
            <w:drawing>
              <wp:anchor distT="0" distB="0" distL="114300" distR="114300" simplePos="0" relativeHeight="251659264" behindDoc="1" locked="0" layoutInCell="1" allowOverlap="1" wp14:anchorId="28B0FBE3" wp14:editId="28BC08A9">
                <wp:simplePos x="0" y="0"/>
                <wp:positionH relativeFrom="column">
                  <wp:posOffset>-745490</wp:posOffset>
                </wp:positionH>
                <wp:positionV relativeFrom="page">
                  <wp:posOffset>6667500</wp:posOffset>
                </wp:positionV>
                <wp:extent cx="7760970" cy="4019550"/>
                <wp:effectExtent l="0" t="0" r="0" b="0"/>
                <wp:wrapNone/>
                <wp:docPr id="2" name="Rectángulo 2" descr="rectángulo de color"/>
                <wp:cNvGraphicFramePr/>
                <a:graphic xmlns:a="http://schemas.openxmlformats.org/drawingml/2006/main">
                  <a:graphicData uri="http://schemas.microsoft.com/office/word/2010/wordprocessingShape">
                    <wps:wsp>
                      <wps:cNvSpPr/>
                      <wps:spPr>
                        <a:xfrm>
                          <a:off x="0" y="0"/>
                          <a:ext cx="7760970" cy="4019550"/>
                        </a:xfrm>
                        <a:prstGeom prst="rect">
                          <a:avLst/>
                        </a:prstGeom>
                        <a:solidFill>
                          <a:schemeClr val="accent3"/>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37C95079" id="Rectángulo 2" o:spid="_x0000_s1026" alt="rectángulo de color" style="position:absolute;margin-left:-58.7pt;margin-top:525pt;width:611.1pt;height:316.5pt;z-index:-251657216;visibility:visible;mso-wrap-style:square;mso-height-percent:0;mso-wrap-distance-left:9pt;mso-wrap-distance-top:0;mso-wrap-distance-right:9pt;mso-wrap-distance-bottom:0;mso-position-horizontal:absolute;mso-position-horizontal-relative:text;mso-position-vertical:absolute;mso-position-vertical-relative:page;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" fillcolor="#34aba2 [3206]" stroked="f" strokeweight="2pt">
                <w10:wrap anchory="page"/>
              </v:rect>
            </w:pict>
          </mc:Fallback>
        </mc:AlternateContent>
      </w:r>
      <w:r w:rsidR="00D077E9">
        <w:rPr>
          <w:noProof/>
          <w:lang w:bidi="es-ES"/>
        </w:rPr>
        <w:br w:type="page"/>
      </w:r>
    </w:p>
    <w:tbl>
      <w:tblPr>
        <w:tblW w:w="9999" w:type="dxa"/>
        <w:tblInd w:w="40" w:type="dxa"/>
        <w:tblCellMar>
          <w:left w:w="0" w:type="dxa"/>
          <w:right w:w="0" w:type="dxa"/>
        </w:tblCellMar>
        <w:tblLook w:val="0000" w:firstRow="0" w:lastRow="0" w:firstColumn="0" w:lastColumn="0" w:noHBand="0" w:noVBand="0"/>
      </w:tblPr>
      <w:tblGrid>
        <w:gridCol w:w="9999"/>
      </w:tblGrid>
      <w:tr w:rsidR="00D077E9" w:rsidRPr="001A04E7" w14:paraId="13D6A69E" w14:textId="77777777" w:rsidTr="00DF027C">
        <w:trPr>
          <w:trHeight w:val="3546"/>
        </w:trPr>
        <w:tc>
          <w:tcPr>
            <w:tcW w:w="9999" w:type="dxa"/>
          </w:tcPr>
          <w:p w14:paraId="5AECE458" w14:textId="37B1F7D1" w:rsidR="007702A5" w:rsidRPr="007702A5" w:rsidRDefault="007702A5" w:rsidP="007702A5">
            <w:pPr>
              <w:pStyle w:val="Title"/>
              <w:jc w:val="center"/>
              <w:rPr>
                <w:noProof/>
                <w:sz w:val="52"/>
                <w:szCs w:val="44"/>
                <w:lang w:val="en-US"/>
              </w:rPr>
            </w:pPr>
            <w:r w:rsidRPr="007702A5">
              <w:rPr>
                <w:noProof/>
                <w:sz w:val="52"/>
                <w:szCs w:val="44"/>
                <w:lang w:val="en-US"/>
              </w:rPr>
              <w:lastRenderedPageBreak/>
              <w:t>Financial Diagnostic Memo Part 1</w:t>
            </w:r>
          </w:p>
          <w:p w14:paraId="6D24A9AC" w14:textId="3B3FB65F" w:rsidR="00D077E9" w:rsidRPr="00412710" w:rsidRDefault="00000000" w:rsidP="00C747B0">
            <w:pPr>
              <w:pStyle w:val="Heading2"/>
              <w:numPr>
                <w:ilvl w:val="0"/>
                <w:numId w:val="7"/>
              </w:numPr>
              <w:rPr>
                <w:rStyle w:val="SubtitleChar"/>
                <w:lang w:val="en-US"/>
              </w:rPr>
            </w:pPr>
            <w:sdt>
              <w:sdtPr>
                <w:rPr>
                  <w:rFonts w:eastAsiaTheme="minorEastAsia"/>
                  <w:caps/>
                  <w:noProof/>
                  <w:spacing w:val="20"/>
                  <w:sz w:val="32"/>
                  <w:szCs w:val="22"/>
                </w:rPr>
                <w:id w:val="1660650702"/>
                <w:placeholder>
                  <w:docPart w:val="E57802EACAA24F16BEE7BB43E0A47A29"/>
                </w:placeholder>
                <w15:appearance w15:val="hidden"/>
              </w:sdtPr>
              <w:sdtEndPr>
                <w:rPr>
                  <w:rStyle w:val="SubtitleChar"/>
                  <w:noProof w:val="0"/>
                </w:rPr>
              </w:sdtEndPr>
              <w:sdtContent>
                <w:r w:rsidR="00F33843" w:rsidRPr="00412710">
                  <w:rPr>
                    <w:rStyle w:val="SubtitleChar"/>
                    <w:lang w:val="en-US"/>
                  </w:rPr>
                  <w:t>Data Integrity Issues</w:t>
                </w:r>
              </w:sdtContent>
            </w:sdt>
          </w:p>
          <w:p w14:paraId="328E2937" w14:textId="77777777" w:rsidR="00DF027C" w:rsidRPr="007D228F" w:rsidRDefault="00DF027C" w:rsidP="00DF027C">
            <w:pPr>
              <w:rPr>
                <w:noProof/>
                <w:sz w:val="22"/>
                <w:lang w:val="en-US"/>
              </w:rPr>
            </w:pPr>
          </w:p>
          <w:p w14:paraId="04312876" w14:textId="77777777" w:rsidR="00DF027C" w:rsidRPr="007D228F" w:rsidRDefault="004D7EB2" w:rsidP="004D7EB2">
            <w:pPr>
              <w:pStyle w:val="Contenido"/>
              <w:numPr>
                <w:ilvl w:val="0"/>
                <w:numId w:val="2"/>
              </w:numPr>
              <w:rPr>
                <w:noProof/>
                <w:sz w:val="22"/>
                <w:lang w:val="en-US"/>
              </w:rPr>
            </w:pPr>
            <w:r w:rsidRPr="007D228F">
              <w:rPr>
                <w:noProof/>
                <w:sz w:val="22"/>
                <w:lang w:val="en-US"/>
              </w:rPr>
              <w:t xml:space="preserve">In FY2025, total revenue increased from $7.815M to $9.615M (+23%). However, not all of this growth came from the company’s normal recurring operations. </w:t>
            </w:r>
            <w:r w:rsidRPr="007D228F">
              <w:rPr>
                <w:b/>
                <w:bCs/>
                <w:noProof/>
                <w:sz w:val="22"/>
                <w:lang w:val="en-US"/>
              </w:rPr>
              <w:t>Contingent commissions</w:t>
            </w:r>
            <w:r w:rsidRPr="007D228F">
              <w:rPr>
                <w:noProof/>
                <w:sz w:val="22"/>
                <w:lang w:val="en-US"/>
              </w:rPr>
              <w:t xml:space="preserve"> increased by 68%, and </w:t>
            </w:r>
            <w:r w:rsidRPr="007D228F">
              <w:rPr>
                <w:b/>
                <w:bCs/>
                <w:noProof/>
                <w:sz w:val="22"/>
                <w:lang w:val="en-US"/>
              </w:rPr>
              <w:t>other income</w:t>
            </w:r>
            <w:r w:rsidRPr="007D228F">
              <w:rPr>
                <w:noProof/>
                <w:sz w:val="22"/>
                <w:lang w:val="en-US"/>
              </w:rPr>
              <w:t xml:space="preserve"> rose from $35K to $290K. This suggests that part of the reported growth was supported by non-recurring income, so FY2025 results look stronger than the core recurring business actually is.</w:t>
            </w:r>
          </w:p>
          <w:p w14:paraId="175B83FC" w14:textId="77777777" w:rsidR="00961675" w:rsidRPr="007D228F" w:rsidRDefault="00961675" w:rsidP="00961675">
            <w:pPr>
              <w:pStyle w:val="ListParagraph"/>
              <w:rPr>
                <w:noProof/>
                <w:sz w:val="22"/>
                <w:lang w:val="en-US"/>
              </w:rPr>
            </w:pPr>
          </w:p>
          <w:p w14:paraId="00A6BADE" w14:textId="2D3F2DC7" w:rsidR="00961675" w:rsidRPr="007D228F" w:rsidRDefault="00961675" w:rsidP="00E71CFB">
            <w:pPr>
              <w:pStyle w:val="Contenido"/>
              <w:numPr>
                <w:ilvl w:val="0"/>
                <w:numId w:val="2"/>
              </w:numPr>
              <w:rPr>
                <w:noProof/>
                <w:sz w:val="22"/>
                <w:lang w:val="en-US"/>
              </w:rPr>
            </w:pPr>
            <w:r w:rsidRPr="007D228F">
              <w:rPr>
                <w:b/>
                <w:bCs/>
                <w:noProof/>
                <w:sz w:val="22"/>
                <w:lang w:val="en-US"/>
              </w:rPr>
              <w:t>Benefits division revenue</w:t>
            </w:r>
            <w:r w:rsidRPr="007D228F">
              <w:rPr>
                <w:noProof/>
                <w:sz w:val="22"/>
                <w:lang w:val="en-US"/>
              </w:rPr>
              <w:t xml:space="preserve"> is growing fast, but the notes show that the division is only around breakeven. Benefits revenue increased from $120K in FY2023 to $520K in FY2025, but Tony  states that the division currently operates at approximately breakeven after Michelle Kaplan’s compensation and dedicated technology costs. This creates a mismatch between headline revenue growth and real earnings contribution</w:t>
            </w:r>
          </w:p>
          <w:p w14:paraId="6DF0E66D" w14:textId="77777777" w:rsidR="007702A5" w:rsidRPr="007D228F" w:rsidRDefault="007702A5" w:rsidP="007702A5">
            <w:pPr>
              <w:pStyle w:val="ListParagraph"/>
              <w:rPr>
                <w:noProof/>
                <w:sz w:val="22"/>
                <w:lang w:val="en-US"/>
              </w:rPr>
            </w:pPr>
          </w:p>
          <w:p w14:paraId="4B5DF0EF" w14:textId="72A735E2" w:rsidR="007702A5" w:rsidRPr="007D228F" w:rsidRDefault="007702A5" w:rsidP="00E71CFB">
            <w:pPr>
              <w:pStyle w:val="Contenido"/>
              <w:numPr>
                <w:ilvl w:val="0"/>
                <w:numId w:val="2"/>
              </w:numPr>
              <w:rPr>
                <w:noProof/>
                <w:sz w:val="22"/>
                <w:lang w:val="en-US"/>
              </w:rPr>
            </w:pPr>
            <w:r w:rsidRPr="007D228F">
              <w:rPr>
                <w:b/>
                <w:bCs/>
                <w:noProof/>
                <w:sz w:val="22"/>
                <w:lang w:val="en-US"/>
              </w:rPr>
              <w:t xml:space="preserve">Marketing expense </w:t>
            </w:r>
            <w:r w:rsidRPr="007D228F">
              <w:rPr>
                <w:noProof/>
                <w:sz w:val="22"/>
                <w:lang w:val="en-US"/>
              </w:rPr>
              <w:t>increased much faster than the business and includes non-recurring and discretionary spending. Marketing and business development rose from $135K to $280K (+107%), which is far above total revenue growth. The notes show that this includes $95K for a full rebrand and $40K for Tony’s personal speaking engagements, including travel for his wife. This means the expense line includes items that do not reflect normal operating needs.</w:t>
            </w:r>
          </w:p>
          <w:p w14:paraId="684D06FE" w14:textId="77777777" w:rsidR="00F14488" w:rsidRPr="007D228F" w:rsidRDefault="00F14488" w:rsidP="00F14488">
            <w:pPr>
              <w:pStyle w:val="ListParagraph"/>
              <w:rPr>
                <w:noProof/>
                <w:sz w:val="22"/>
                <w:lang w:val="en-US"/>
              </w:rPr>
            </w:pPr>
          </w:p>
          <w:p w14:paraId="23CC1BA3" w14:textId="4F1BB996" w:rsidR="00F14488" w:rsidRPr="007D228F" w:rsidRDefault="00F14488" w:rsidP="00E71CFB">
            <w:pPr>
              <w:pStyle w:val="Contenido"/>
              <w:numPr>
                <w:ilvl w:val="0"/>
                <w:numId w:val="2"/>
              </w:numPr>
              <w:rPr>
                <w:noProof/>
                <w:sz w:val="22"/>
                <w:lang w:val="en-US"/>
              </w:rPr>
            </w:pPr>
            <w:r w:rsidRPr="007D228F">
              <w:rPr>
                <w:b/>
                <w:bCs/>
                <w:noProof/>
                <w:sz w:val="22"/>
                <w:lang w:val="en-US"/>
              </w:rPr>
              <w:t xml:space="preserve">Technology expense </w:t>
            </w:r>
            <w:r w:rsidRPr="007D228F">
              <w:rPr>
                <w:noProof/>
                <w:sz w:val="22"/>
                <w:lang w:val="en-US"/>
              </w:rPr>
              <w:t>includes temporary project costs, so the FY2025 number is not a clean run-rate. Technology and AMS licensing increased from $140K to $185K (+32%), and the notes explain that FY2025 includes $48K of one-time AMS migration consulting fees and $22K of data cleanup costs. This means the line mixes recurring technology expense with temporary implementation costs.</w:t>
            </w:r>
          </w:p>
          <w:p w14:paraId="2AE353C3" w14:textId="77777777" w:rsidR="00F14488" w:rsidRPr="007D228F" w:rsidRDefault="00F14488" w:rsidP="00F14488">
            <w:pPr>
              <w:pStyle w:val="ListParagraph"/>
              <w:rPr>
                <w:noProof/>
                <w:sz w:val="22"/>
                <w:lang w:val="en-US"/>
              </w:rPr>
            </w:pPr>
          </w:p>
          <w:p w14:paraId="4F19C690" w14:textId="46E6F8B5" w:rsidR="00F14488" w:rsidRPr="007D228F" w:rsidRDefault="00F14488" w:rsidP="00E71CFB">
            <w:pPr>
              <w:pStyle w:val="Contenido"/>
              <w:numPr>
                <w:ilvl w:val="0"/>
                <w:numId w:val="2"/>
              </w:numPr>
              <w:rPr>
                <w:noProof/>
                <w:sz w:val="22"/>
                <w:lang w:val="en-US"/>
              </w:rPr>
            </w:pPr>
            <w:r w:rsidRPr="007D228F">
              <w:rPr>
                <w:b/>
                <w:bCs/>
                <w:noProof/>
                <w:sz w:val="22"/>
                <w:lang w:val="en-US"/>
              </w:rPr>
              <w:t>Professional fees</w:t>
            </w:r>
            <w:r w:rsidRPr="007D228F">
              <w:rPr>
                <w:noProof/>
                <w:sz w:val="22"/>
                <w:lang w:val="en-US"/>
              </w:rPr>
              <w:t xml:space="preserve"> increased sharply because of a legal matter, not because of normal operations. Professional fees increased from $72K to $165K (+129%), and the notes state that $72K relates to legal fees from an active E&amp;O claim. This is a red flag because a large part of the increase is linked to an unusual legal issue, not normal operating activity.</w:t>
            </w:r>
          </w:p>
          <w:p w14:paraId="1AEA4C18" w14:textId="77777777" w:rsidR="00F5393D" w:rsidRPr="007D228F" w:rsidRDefault="00F5393D" w:rsidP="00F5393D">
            <w:pPr>
              <w:pStyle w:val="ListParagraph"/>
              <w:rPr>
                <w:noProof/>
                <w:sz w:val="22"/>
                <w:lang w:val="en-US"/>
              </w:rPr>
            </w:pPr>
          </w:p>
          <w:p w14:paraId="4AD81853" w14:textId="6F186B9B" w:rsidR="004D7EB2" w:rsidRPr="007D228F" w:rsidRDefault="00C030AE" w:rsidP="00C030AE">
            <w:pPr>
              <w:pStyle w:val="Contenido"/>
              <w:numPr>
                <w:ilvl w:val="0"/>
                <w:numId w:val="2"/>
              </w:numPr>
              <w:rPr>
                <w:noProof/>
                <w:sz w:val="22"/>
                <w:lang w:val="en-US"/>
              </w:rPr>
            </w:pPr>
            <w:r w:rsidRPr="007D228F">
              <w:rPr>
                <w:b/>
                <w:bCs/>
                <w:noProof/>
                <w:sz w:val="22"/>
                <w:lang w:val="en-US"/>
              </w:rPr>
              <w:t xml:space="preserve">Rent and occupancy </w:t>
            </w:r>
            <w:r w:rsidRPr="007D228F">
              <w:rPr>
                <w:noProof/>
                <w:sz w:val="22"/>
                <w:lang w:val="en-US"/>
              </w:rPr>
              <w:t>increased sharply because of a related-party office move. Rent increased from $168K in FY2024 to $285K in FY2025 (+70%). One note says this includes six months at the old office and six months at the new Marchetti-owned building, and another note says that this building is owned by Tony Marchetti and his wife through Marchetti Development Group, LLC. This makes rent a cost issue and also a related-party issue.</w:t>
            </w:r>
          </w:p>
          <w:p w14:paraId="41273FD8" w14:textId="77777777" w:rsidR="00083448" w:rsidRPr="007D228F" w:rsidRDefault="00083448" w:rsidP="00083448">
            <w:pPr>
              <w:pStyle w:val="ListParagraph"/>
              <w:rPr>
                <w:noProof/>
                <w:sz w:val="22"/>
                <w:lang w:val="en-US"/>
              </w:rPr>
            </w:pPr>
          </w:p>
          <w:p w14:paraId="6C778B48" w14:textId="668FDD6C" w:rsidR="00083448" w:rsidRPr="007D228F" w:rsidRDefault="00083448" w:rsidP="00C030AE">
            <w:pPr>
              <w:pStyle w:val="Contenido"/>
              <w:numPr>
                <w:ilvl w:val="0"/>
                <w:numId w:val="2"/>
              </w:numPr>
              <w:rPr>
                <w:noProof/>
                <w:sz w:val="22"/>
                <w:lang w:val="en-US"/>
              </w:rPr>
            </w:pPr>
            <w:r w:rsidRPr="007D228F">
              <w:rPr>
                <w:rStyle w:val="Strong"/>
                <w:sz w:val="22"/>
                <w:lang w:val="en-US"/>
              </w:rPr>
              <w:t>Depreciation and amortization increased sharply in FY2025, likely because of the January 2025 acquisition.</w:t>
            </w:r>
            <w:r w:rsidRPr="007D228F">
              <w:rPr>
                <w:sz w:val="22"/>
                <w:lang w:val="en-US"/>
              </w:rPr>
              <w:t xml:space="preserve"> The notes state that company acquired a book of business for </w:t>
            </w:r>
            <w:r w:rsidRPr="007D228F">
              <w:rPr>
                <w:rStyle w:val="Strong"/>
                <w:sz w:val="22"/>
                <w:lang w:val="en-US"/>
              </w:rPr>
              <w:t>$1.16M</w:t>
            </w:r>
            <w:r w:rsidRPr="007D228F">
              <w:rPr>
                <w:sz w:val="22"/>
                <w:lang w:val="en-US"/>
              </w:rPr>
              <w:t xml:space="preserve">, financed with a </w:t>
            </w:r>
            <w:r w:rsidRPr="007D228F">
              <w:rPr>
                <w:rStyle w:val="Strong"/>
                <w:sz w:val="22"/>
                <w:lang w:val="en-US"/>
              </w:rPr>
              <w:t>$900K seller note</w:t>
            </w:r>
            <w:r w:rsidRPr="007D228F">
              <w:rPr>
                <w:sz w:val="22"/>
                <w:lang w:val="en-US"/>
              </w:rPr>
              <w:t xml:space="preserve"> and </w:t>
            </w:r>
            <w:r w:rsidRPr="007D228F">
              <w:rPr>
                <w:rStyle w:val="Strong"/>
                <w:sz w:val="22"/>
                <w:lang w:val="en-US"/>
              </w:rPr>
              <w:t>$260K cash</w:t>
            </w:r>
            <w:r w:rsidRPr="007D228F">
              <w:rPr>
                <w:sz w:val="22"/>
                <w:lang w:val="en-US"/>
              </w:rPr>
              <w:t xml:space="preserve">, and recorded </w:t>
            </w:r>
            <w:r w:rsidRPr="007D228F">
              <w:rPr>
                <w:rStyle w:val="Strong"/>
                <w:sz w:val="22"/>
                <w:lang w:val="en-US"/>
              </w:rPr>
              <w:t>$840K of book of business intangible assets</w:t>
            </w:r>
            <w:r w:rsidRPr="007D228F">
              <w:rPr>
                <w:sz w:val="22"/>
                <w:lang w:val="en-US"/>
              </w:rPr>
              <w:t xml:space="preserve"> plus </w:t>
            </w:r>
            <w:r w:rsidRPr="007D228F">
              <w:rPr>
                <w:rStyle w:val="Strong"/>
                <w:sz w:val="22"/>
                <w:lang w:val="en-US"/>
              </w:rPr>
              <w:t>$320K of goodwill</w:t>
            </w:r>
            <w:r w:rsidRPr="007D228F">
              <w:rPr>
                <w:sz w:val="22"/>
                <w:lang w:val="en-US"/>
              </w:rPr>
              <w:t>. However, the package does not include the amortization schedule or other supporting detail needed to validate the full increase in FY2025 expense.</w:t>
            </w:r>
          </w:p>
          <w:p w14:paraId="092CA5DB" w14:textId="77777777" w:rsidR="00CB57B0" w:rsidRPr="007D228F" w:rsidRDefault="00CB57B0" w:rsidP="00CB57B0">
            <w:pPr>
              <w:pStyle w:val="ListParagraph"/>
              <w:rPr>
                <w:noProof/>
                <w:sz w:val="22"/>
                <w:lang w:val="en-US"/>
              </w:rPr>
            </w:pPr>
          </w:p>
          <w:p w14:paraId="6A19B941" w14:textId="4A5D7ACA" w:rsidR="004D7EB2" w:rsidRPr="007D228F" w:rsidRDefault="00CB57B0" w:rsidP="00CB57B0">
            <w:pPr>
              <w:pStyle w:val="Contenido"/>
              <w:numPr>
                <w:ilvl w:val="0"/>
                <w:numId w:val="2"/>
              </w:numPr>
              <w:rPr>
                <w:rStyle w:val="Strong"/>
                <w:noProof/>
                <w:sz w:val="22"/>
                <w:lang w:val="en-US"/>
              </w:rPr>
            </w:pPr>
            <w:r w:rsidRPr="007D228F">
              <w:rPr>
                <w:rStyle w:val="Strong"/>
                <w:sz w:val="22"/>
                <w:lang w:val="en-US"/>
              </w:rPr>
              <w:lastRenderedPageBreak/>
              <w:t xml:space="preserve">Miscellaneous expense </w:t>
            </w:r>
            <w:r w:rsidRPr="007D228F">
              <w:rPr>
                <w:rStyle w:val="Strong"/>
                <w:b w:val="0"/>
                <w:bCs w:val="0"/>
                <w:sz w:val="22"/>
                <w:lang w:val="en-US"/>
              </w:rPr>
              <w:t>increased too sharply for a line that should normally stay small and stable. Miscellaneous / Other increased from $35K to $110K (+214%). A line like this should not grow this much without detailed support. This suggests weak expense coding or that unusual items are being parked in a catch-all account.</w:t>
            </w:r>
          </w:p>
          <w:p w14:paraId="2F0D044F" w14:textId="77777777" w:rsidR="009B74AF" w:rsidRPr="007D228F" w:rsidRDefault="009B74AF" w:rsidP="009B74AF">
            <w:pPr>
              <w:pStyle w:val="ListParagraph"/>
              <w:rPr>
                <w:b w:val="0"/>
                <w:bCs/>
                <w:noProof/>
                <w:sz w:val="22"/>
                <w:lang w:val="en-US"/>
              </w:rPr>
            </w:pPr>
          </w:p>
          <w:p w14:paraId="468D1FE2" w14:textId="3C238B52" w:rsidR="009B74AF" w:rsidRPr="007D228F" w:rsidRDefault="009B74AF" w:rsidP="00CB57B0">
            <w:pPr>
              <w:pStyle w:val="Contenido"/>
              <w:numPr>
                <w:ilvl w:val="0"/>
                <w:numId w:val="2"/>
              </w:numPr>
              <w:rPr>
                <w:b/>
                <w:bCs/>
                <w:noProof/>
                <w:sz w:val="22"/>
                <w:lang w:val="en-US"/>
              </w:rPr>
            </w:pPr>
            <w:r w:rsidRPr="007D228F">
              <w:rPr>
                <w:b/>
                <w:bCs/>
                <w:noProof/>
                <w:sz w:val="22"/>
                <w:lang w:val="en-US"/>
              </w:rPr>
              <w:t xml:space="preserve">Owner-related costs are mixed into operating expenses </w:t>
            </w:r>
            <w:r w:rsidRPr="007D228F">
              <w:rPr>
                <w:noProof/>
                <w:sz w:val="22"/>
                <w:lang w:val="en-US"/>
              </w:rPr>
              <w:t>and reduce clarity. The related-party summary shows personal vehicle expense, country club expense, suite/hospitality expense, family health insurance, and owner-only life/disability coverage. These costs reduce the reliability of reported operating expenses because the P&amp;L mixes business costs with personal or discretionary owner spending.</w:t>
            </w:r>
          </w:p>
          <w:p w14:paraId="1C6907A6" w14:textId="77777777" w:rsidR="00816788" w:rsidRPr="007D228F" w:rsidRDefault="00816788" w:rsidP="00816788">
            <w:pPr>
              <w:pStyle w:val="ListParagraph"/>
              <w:rPr>
                <w:b w:val="0"/>
                <w:bCs/>
                <w:noProof/>
                <w:sz w:val="22"/>
                <w:lang w:val="en-US"/>
              </w:rPr>
            </w:pPr>
          </w:p>
          <w:p w14:paraId="17EDE4A3" w14:textId="0696491E" w:rsidR="00816788" w:rsidRPr="00C747B0" w:rsidRDefault="00412710" w:rsidP="00C747B0">
            <w:pPr>
              <w:pStyle w:val="Subtitle"/>
              <w:framePr w:wrap="around"/>
              <w:numPr>
                <w:ilvl w:val="0"/>
                <w:numId w:val="7"/>
              </w:numPr>
              <w:rPr>
                <w:szCs w:val="32"/>
              </w:rPr>
            </w:pPr>
            <w:r w:rsidRPr="00C747B0">
              <w:rPr>
                <w:noProof/>
                <w:szCs w:val="32"/>
                <w:lang w:val="en-US"/>
              </w:rPr>
              <w:t>information gaps</w:t>
            </w:r>
          </w:p>
          <w:p w14:paraId="7CD50A24" w14:textId="2F4690D1" w:rsidR="00816788" w:rsidRDefault="00816788" w:rsidP="00816788">
            <w:pPr>
              <w:numPr>
                <w:ilvl w:val="0"/>
                <w:numId w:val="4"/>
              </w:numPr>
              <w:spacing w:before="100" w:beforeAutospacing="1" w:after="100" w:afterAutospacing="1" w:line="240" w:lineRule="auto"/>
              <w:rPr>
                <w:b w:val="0"/>
                <w:bCs/>
                <w:sz w:val="22"/>
                <w:lang w:val="en-US"/>
              </w:rPr>
            </w:pPr>
            <w:r w:rsidRPr="007D228F">
              <w:rPr>
                <w:rStyle w:val="Strong"/>
                <w:b/>
                <w:bCs w:val="0"/>
                <w:sz w:val="22"/>
                <w:lang w:val="en-US"/>
              </w:rPr>
              <w:t>The producer compensation detail does not fully reconcile to the income statement.</w:t>
            </w:r>
            <w:r w:rsidRPr="007D228F">
              <w:rPr>
                <w:b w:val="0"/>
                <w:bCs/>
                <w:sz w:val="22"/>
                <w:lang w:val="en-US"/>
              </w:rPr>
              <w:t xml:space="preserve"> Exhibit 5 shows </w:t>
            </w:r>
            <w:r w:rsidRPr="007D228F">
              <w:rPr>
                <w:rStyle w:val="Strong"/>
                <w:b/>
                <w:bCs w:val="0"/>
                <w:sz w:val="22"/>
                <w:lang w:val="en-US"/>
              </w:rPr>
              <w:t>$2.341M</w:t>
            </w:r>
            <w:r w:rsidRPr="007D228F">
              <w:rPr>
                <w:b w:val="0"/>
                <w:bCs/>
                <w:sz w:val="22"/>
                <w:lang w:val="en-US"/>
              </w:rPr>
              <w:t xml:space="preserve"> of producer compensation, while the income statement reports </w:t>
            </w:r>
            <w:r w:rsidRPr="007D228F">
              <w:rPr>
                <w:rStyle w:val="Strong"/>
                <w:b/>
                <w:bCs w:val="0"/>
                <w:sz w:val="22"/>
                <w:lang w:val="en-US"/>
              </w:rPr>
              <w:t>$2.620M</w:t>
            </w:r>
            <w:r w:rsidRPr="007D228F">
              <w:rPr>
                <w:b w:val="0"/>
                <w:bCs/>
                <w:sz w:val="22"/>
                <w:lang w:val="en-US"/>
              </w:rPr>
              <w:t xml:space="preserve">. Management explains that the </w:t>
            </w:r>
            <w:r w:rsidRPr="007D228F">
              <w:rPr>
                <w:rStyle w:val="Strong"/>
                <w:b/>
                <w:bCs w:val="0"/>
                <w:sz w:val="22"/>
                <w:lang w:val="en-US"/>
              </w:rPr>
              <w:t>$279K difference</w:t>
            </w:r>
            <w:r w:rsidRPr="007D228F">
              <w:rPr>
                <w:b w:val="0"/>
                <w:bCs/>
                <w:sz w:val="22"/>
                <w:lang w:val="en-US"/>
              </w:rPr>
              <w:t xml:space="preserve"> relates to a signing bonus for a new producer and a retention bonus paid to Jennifer Oakes. This means the schedule does not capture the full compensation expense on its own and requires additional management explanation to tie to the P&amp;L</w:t>
            </w:r>
            <w:r w:rsidR="009C51A0" w:rsidRPr="007D228F">
              <w:rPr>
                <w:b w:val="0"/>
                <w:bCs/>
                <w:sz w:val="22"/>
                <w:lang w:val="en-US"/>
              </w:rPr>
              <w:t>.</w:t>
            </w:r>
          </w:p>
          <w:p w14:paraId="4EA2BBAF" w14:textId="77777777" w:rsidR="001A04E7" w:rsidRPr="007D228F" w:rsidRDefault="001A04E7" w:rsidP="001A04E7">
            <w:pPr>
              <w:spacing w:before="100" w:beforeAutospacing="1" w:after="100" w:afterAutospacing="1" w:line="240" w:lineRule="auto"/>
              <w:ind w:left="720"/>
              <w:rPr>
                <w:b w:val="0"/>
                <w:bCs/>
                <w:sz w:val="22"/>
                <w:lang w:val="en-US"/>
              </w:rPr>
            </w:pPr>
          </w:p>
          <w:p w14:paraId="2BF086AD" w14:textId="66E724A1" w:rsidR="009C51A0" w:rsidRDefault="009C51A0" w:rsidP="00816788">
            <w:pPr>
              <w:numPr>
                <w:ilvl w:val="0"/>
                <w:numId w:val="4"/>
              </w:numPr>
              <w:spacing w:before="100" w:beforeAutospacing="1" w:after="100" w:afterAutospacing="1" w:line="240" w:lineRule="auto"/>
              <w:rPr>
                <w:b w:val="0"/>
                <w:bCs/>
                <w:sz w:val="22"/>
                <w:lang w:val="en-US"/>
              </w:rPr>
            </w:pPr>
            <w:r w:rsidRPr="007D228F">
              <w:rPr>
                <w:sz w:val="22"/>
                <w:lang w:val="en-US"/>
              </w:rPr>
              <w:t>The equity section</w:t>
            </w:r>
            <w:r w:rsidRPr="007D228F">
              <w:rPr>
                <w:b w:val="0"/>
                <w:bCs/>
                <w:sz w:val="22"/>
                <w:lang w:val="en-US"/>
              </w:rPr>
              <w:t xml:space="preserve"> of the balance sheet does not reconcile clearly with the income statement and the owner distribution data provided elsewhere in the file. Exhibit 1 reports net income of $2.463M in FY2023, $2.736M in FY2024, and $3.171M in FY2025, while </w:t>
            </w:r>
            <w:r w:rsidRPr="007D228F">
              <w:rPr>
                <w:sz w:val="22"/>
                <w:lang w:val="en-US"/>
              </w:rPr>
              <w:t>Exhibit 2</w:t>
            </w:r>
            <w:r w:rsidRPr="007D228F">
              <w:rPr>
                <w:b w:val="0"/>
                <w:bCs/>
                <w:sz w:val="22"/>
                <w:lang w:val="en-US"/>
              </w:rPr>
              <w:t xml:space="preserve"> shows retained earnings moving only from ($140K) to ($80K) and then to $395K. </w:t>
            </w:r>
            <w:r w:rsidRPr="007D228F">
              <w:rPr>
                <w:sz w:val="22"/>
                <w:lang w:val="en-US"/>
              </w:rPr>
              <w:t>Exhibit 6</w:t>
            </w:r>
            <w:r w:rsidRPr="007D228F">
              <w:rPr>
                <w:b w:val="0"/>
                <w:bCs/>
                <w:sz w:val="22"/>
                <w:lang w:val="en-US"/>
              </w:rPr>
              <w:t xml:space="preserve"> also shows large S-Corp distributions each year. These distributions may explain part of the movement, but the package does not include a full equity roll-forward showing how reported income and distributions convert into ending retained earnings. As a result, the equity balances are not fully supported by the financial package.</w:t>
            </w:r>
          </w:p>
          <w:p w14:paraId="2B64B4A6" w14:textId="77777777" w:rsidR="001A04E7" w:rsidRPr="007D228F" w:rsidRDefault="001A04E7" w:rsidP="001A04E7">
            <w:pPr>
              <w:spacing w:before="100" w:beforeAutospacing="1" w:after="100" w:afterAutospacing="1" w:line="240" w:lineRule="auto"/>
              <w:ind w:left="720"/>
              <w:rPr>
                <w:b w:val="0"/>
                <w:bCs/>
                <w:sz w:val="22"/>
                <w:lang w:val="en-US"/>
              </w:rPr>
            </w:pPr>
          </w:p>
          <w:p w14:paraId="506585D5" w14:textId="736BDF48" w:rsidR="00412710" w:rsidRPr="007D228F" w:rsidRDefault="00412710" w:rsidP="00816788">
            <w:pPr>
              <w:numPr>
                <w:ilvl w:val="0"/>
                <w:numId w:val="4"/>
              </w:numPr>
              <w:spacing w:before="100" w:beforeAutospacing="1" w:after="100" w:afterAutospacing="1" w:line="240" w:lineRule="auto"/>
              <w:rPr>
                <w:b w:val="0"/>
                <w:bCs/>
                <w:sz w:val="22"/>
                <w:lang w:val="en-US"/>
              </w:rPr>
            </w:pPr>
            <w:r w:rsidRPr="007D228F">
              <w:rPr>
                <w:sz w:val="22"/>
                <w:lang w:val="en-US"/>
              </w:rPr>
              <w:t>Contingent commission income</w:t>
            </w:r>
            <w:r w:rsidRPr="007D228F">
              <w:rPr>
                <w:b w:val="0"/>
                <w:bCs/>
                <w:sz w:val="22"/>
                <w:lang w:val="en-US"/>
              </w:rPr>
              <w:t xml:space="preserve"> and contingent commission receivable appear for the first time in FY2025, but the support is incomplete. The balance sheet shows $410K of contingent commission receivable in FY2025, while the income statement shows contingent commissions of $1.240M. Because FY2025 includes a one-time carrier bonus, the package needs stronger support showing what portion was earned, what portion remains receivable, and what portion is actually recurring. As presented, the connection between income recognition and the new receivable balance is not fully transparent.</w:t>
            </w:r>
          </w:p>
          <w:p w14:paraId="39554C9A" w14:textId="77777777" w:rsidR="00412710" w:rsidRPr="007D228F" w:rsidRDefault="00412710" w:rsidP="00412710">
            <w:pPr>
              <w:pStyle w:val="ListParagraph"/>
              <w:rPr>
                <w:b w:val="0"/>
                <w:bCs/>
                <w:sz w:val="22"/>
                <w:lang w:val="en-US"/>
              </w:rPr>
            </w:pPr>
          </w:p>
          <w:p w14:paraId="1E6C3C62" w14:textId="5517A73A" w:rsidR="00412710" w:rsidRPr="00C747B0" w:rsidRDefault="00C747B0" w:rsidP="00412710">
            <w:pPr>
              <w:pStyle w:val="Subtitle"/>
              <w:framePr w:wrap="around"/>
              <w:rPr>
                <w:sz w:val="28"/>
                <w:szCs w:val="28"/>
                <w:lang w:val="en-US"/>
              </w:rPr>
            </w:pPr>
            <w:r w:rsidRPr="00C747B0">
              <w:rPr>
                <w:sz w:val="28"/>
                <w:szCs w:val="28"/>
                <w:lang w:val="en-US"/>
              </w:rPr>
              <w:t>3.</w:t>
            </w:r>
            <w:r w:rsidR="00412710" w:rsidRPr="00C747B0">
              <w:rPr>
                <w:sz w:val="28"/>
                <w:szCs w:val="28"/>
                <w:lang w:val="en-US"/>
              </w:rPr>
              <w:t>preliminary adjustments</w:t>
            </w:r>
          </w:p>
          <w:p w14:paraId="27A2DE10" w14:textId="77777777" w:rsidR="00AD5FF4" w:rsidRPr="007D228F" w:rsidRDefault="00AD5FF4" w:rsidP="00412710">
            <w:pPr>
              <w:pStyle w:val="Subtitle"/>
              <w:framePr w:wrap="around"/>
              <w:rPr>
                <w:sz w:val="22"/>
                <w:lang w:val="en-US"/>
              </w:rPr>
            </w:pPr>
          </w:p>
          <w:p w14:paraId="558E3079" w14:textId="49474C13" w:rsidR="00AD5FF4" w:rsidRPr="007D228F" w:rsidRDefault="00AD5FF4" w:rsidP="00AD5FF4">
            <w:pPr>
              <w:pStyle w:val="Contenido"/>
              <w:numPr>
                <w:ilvl w:val="0"/>
                <w:numId w:val="2"/>
              </w:numPr>
              <w:rPr>
                <w:noProof/>
                <w:sz w:val="22"/>
                <w:lang w:val="en-US"/>
              </w:rPr>
            </w:pPr>
            <w:r w:rsidRPr="007D228F">
              <w:rPr>
                <w:b/>
                <w:bCs/>
                <w:noProof/>
                <w:sz w:val="22"/>
                <w:lang w:val="en-US"/>
              </w:rPr>
              <w:t>Contingent commission income</w:t>
            </w:r>
            <w:r w:rsidRPr="007D228F">
              <w:rPr>
                <w:noProof/>
                <w:sz w:val="22"/>
                <w:lang w:val="en-US"/>
              </w:rPr>
              <w:t xml:space="preserve"> in FY2025 is not fully representative of recurring performance. The line increased from $740K in FY2024 to $1.240M in FY2025, but the notes show that $250K of the increase came from a one-time signing/onboarding bonus tied to a new carrier relationship. As a result, reported FY2025 earnings include a temporary revenue benefit that should not be viewed as part of the normal run-rate of the business.</w:t>
            </w:r>
          </w:p>
          <w:p w14:paraId="608ED127" w14:textId="77777777" w:rsidR="00AD5FF4" w:rsidRPr="007D228F" w:rsidRDefault="00AD5FF4" w:rsidP="00AD5FF4">
            <w:pPr>
              <w:pStyle w:val="ListParagraph"/>
              <w:rPr>
                <w:noProof/>
                <w:sz w:val="22"/>
                <w:lang w:val="en-US"/>
              </w:rPr>
            </w:pPr>
          </w:p>
          <w:p w14:paraId="61FABE2D" w14:textId="77777777" w:rsidR="00AD5FF4" w:rsidRPr="007D228F" w:rsidRDefault="00AD5FF4" w:rsidP="00AD5FF4">
            <w:pPr>
              <w:pStyle w:val="Contenido"/>
              <w:numPr>
                <w:ilvl w:val="0"/>
                <w:numId w:val="2"/>
              </w:numPr>
              <w:rPr>
                <w:noProof/>
                <w:sz w:val="22"/>
                <w:lang w:val="en-US"/>
              </w:rPr>
            </w:pPr>
            <w:r w:rsidRPr="007D228F">
              <w:rPr>
                <w:b/>
                <w:bCs/>
                <w:noProof/>
                <w:sz w:val="22"/>
                <w:lang w:val="en-US"/>
              </w:rPr>
              <w:lastRenderedPageBreak/>
              <w:t>Other income</w:t>
            </w:r>
            <w:r w:rsidRPr="007D228F">
              <w:rPr>
                <w:noProof/>
                <w:sz w:val="22"/>
                <w:lang w:val="en-US"/>
              </w:rPr>
              <w:t xml:space="preserve"> is unusually high and includes one-time revenue. Other income increased from $35K in FY2024 to $290K in FY2025, and the notes state that $225K came from a one-time referral fee after the company exited the personal lines book. This income is not part of the normal earnings base of the agency and makes FY2025 profitability look stronger than it really is on a normalized basis.</w:t>
            </w:r>
          </w:p>
          <w:p w14:paraId="2234D9A8" w14:textId="77777777" w:rsidR="00AD5FF4" w:rsidRPr="007D228F" w:rsidRDefault="00AD5FF4" w:rsidP="00AD5FF4">
            <w:pPr>
              <w:pStyle w:val="Contenido"/>
              <w:ind w:left="720"/>
              <w:rPr>
                <w:noProof/>
                <w:sz w:val="22"/>
                <w:lang w:val="en-US"/>
              </w:rPr>
            </w:pPr>
          </w:p>
          <w:p w14:paraId="29E9F1F6" w14:textId="67E0237C" w:rsidR="00AD5FF4" w:rsidRPr="007D228F" w:rsidRDefault="00AD5FF4" w:rsidP="00AD5FF4">
            <w:pPr>
              <w:pStyle w:val="Contenido"/>
              <w:numPr>
                <w:ilvl w:val="0"/>
                <w:numId w:val="2"/>
              </w:numPr>
              <w:rPr>
                <w:noProof/>
                <w:sz w:val="22"/>
                <w:lang w:val="en-US"/>
              </w:rPr>
            </w:pPr>
            <w:r w:rsidRPr="007D228F">
              <w:rPr>
                <w:rStyle w:val="Strong"/>
                <w:sz w:val="22"/>
                <w:lang w:val="en-US"/>
              </w:rPr>
              <w:t>Several one-time technology and marketing costs should be considered for add-back.</w:t>
            </w:r>
            <w:r w:rsidRPr="007D228F">
              <w:rPr>
                <w:sz w:val="22"/>
                <w:lang w:val="en-US"/>
              </w:rPr>
              <w:t xml:space="preserve"> These include </w:t>
            </w:r>
            <w:r w:rsidRPr="007D228F">
              <w:rPr>
                <w:rStyle w:val="Strong"/>
                <w:sz w:val="22"/>
                <w:lang w:val="en-US"/>
              </w:rPr>
              <w:t>$48K of AMS migration consulting fees</w:t>
            </w:r>
            <w:r w:rsidRPr="007D228F">
              <w:rPr>
                <w:sz w:val="22"/>
                <w:lang w:val="en-US"/>
              </w:rPr>
              <w:t xml:space="preserve">, </w:t>
            </w:r>
            <w:r w:rsidRPr="007D228F">
              <w:rPr>
                <w:rStyle w:val="Strong"/>
                <w:sz w:val="22"/>
                <w:lang w:val="en-US"/>
              </w:rPr>
              <w:t>$22K of data cleanup cost</w:t>
            </w:r>
            <w:r w:rsidRPr="007D228F">
              <w:rPr>
                <w:sz w:val="22"/>
                <w:lang w:val="en-US"/>
              </w:rPr>
              <w:t xml:space="preserve">, and </w:t>
            </w:r>
            <w:r w:rsidRPr="007D228F">
              <w:rPr>
                <w:rStyle w:val="Strong"/>
                <w:sz w:val="22"/>
                <w:lang w:val="en-US"/>
              </w:rPr>
              <w:t>$95K of rebranding cost</w:t>
            </w:r>
            <w:r w:rsidRPr="007D228F">
              <w:rPr>
                <w:sz w:val="22"/>
                <w:lang w:val="en-US"/>
              </w:rPr>
              <w:t>, which appear to be temporary or non-recurring expenses.</w:t>
            </w:r>
          </w:p>
          <w:p w14:paraId="6D8045CA" w14:textId="77777777" w:rsidR="00AD5FF4" w:rsidRPr="007D228F" w:rsidRDefault="00AD5FF4" w:rsidP="00AD5FF4">
            <w:pPr>
              <w:pStyle w:val="ListParagraph"/>
              <w:rPr>
                <w:noProof/>
                <w:sz w:val="22"/>
                <w:lang w:val="en-US"/>
              </w:rPr>
            </w:pPr>
          </w:p>
          <w:p w14:paraId="5BD3F58F" w14:textId="07E6D43D" w:rsidR="00AD5FF4" w:rsidRPr="007D228F" w:rsidRDefault="00AD5FF4" w:rsidP="00AD5FF4">
            <w:pPr>
              <w:pStyle w:val="Contenido"/>
              <w:numPr>
                <w:ilvl w:val="0"/>
                <w:numId w:val="2"/>
              </w:numPr>
              <w:rPr>
                <w:noProof/>
                <w:sz w:val="22"/>
                <w:lang w:val="en-US"/>
              </w:rPr>
            </w:pPr>
            <w:r w:rsidRPr="007D228F">
              <w:rPr>
                <w:rStyle w:val="Strong"/>
                <w:sz w:val="22"/>
                <w:lang w:val="en-US"/>
              </w:rPr>
              <w:t>The $72K of legal fees related to the E&amp;O claim should be reviewed as a possible non-recurring adjustment.</w:t>
            </w:r>
            <w:r w:rsidRPr="007D228F">
              <w:rPr>
                <w:sz w:val="22"/>
                <w:lang w:val="en-US"/>
              </w:rPr>
              <w:t xml:space="preserve"> These costs are linked to a specific legal matter rather than the normal activities of the agency.</w:t>
            </w:r>
          </w:p>
          <w:p w14:paraId="0953FA6C" w14:textId="77777777" w:rsidR="00AD5FF4" w:rsidRPr="007D228F" w:rsidRDefault="00AD5FF4" w:rsidP="00AD5FF4">
            <w:pPr>
              <w:pStyle w:val="ListParagraph"/>
              <w:rPr>
                <w:noProof/>
                <w:sz w:val="22"/>
                <w:lang w:val="en-US"/>
              </w:rPr>
            </w:pPr>
          </w:p>
          <w:p w14:paraId="2E01778C" w14:textId="546AB572" w:rsidR="00AD5FF4" w:rsidRPr="007D228F" w:rsidRDefault="00AD5FF4" w:rsidP="00AD5FF4">
            <w:pPr>
              <w:pStyle w:val="Contenido"/>
              <w:numPr>
                <w:ilvl w:val="0"/>
                <w:numId w:val="2"/>
              </w:numPr>
              <w:rPr>
                <w:noProof/>
                <w:sz w:val="22"/>
                <w:lang w:val="en-US"/>
              </w:rPr>
            </w:pPr>
            <w:r w:rsidRPr="007D228F">
              <w:rPr>
                <w:rStyle w:val="Strong"/>
                <w:sz w:val="22"/>
                <w:lang w:val="en-US"/>
              </w:rPr>
              <w:t>Several owner-related expenses should be reviewed as likely add-backs or normalization items.</w:t>
            </w:r>
            <w:r w:rsidRPr="007D228F">
              <w:rPr>
                <w:sz w:val="22"/>
                <w:lang w:val="en-US"/>
              </w:rPr>
              <w:t xml:space="preserve"> These include the </w:t>
            </w:r>
            <w:r w:rsidRPr="007D228F">
              <w:rPr>
                <w:rStyle w:val="Strong"/>
                <w:sz w:val="22"/>
                <w:lang w:val="en-US"/>
              </w:rPr>
              <w:t>personal vehicle expense ($24K)</w:t>
            </w:r>
            <w:r w:rsidRPr="007D228F">
              <w:rPr>
                <w:sz w:val="22"/>
                <w:lang w:val="en-US"/>
              </w:rPr>
              <w:t xml:space="preserve">, </w:t>
            </w:r>
            <w:r w:rsidRPr="007D228F">
              <w:rPr>
                <w:rStyle w:val="Strong"/>
                <w:sz w:val="22"/>
                <w:lang w:val="en-US"/>
              </w:rPr>
              <w:t>country club expense ($32K)</w:t>
            </w:r>
            <w:r w:rsidRPr="007D228F">
              <w:rPr>
                <w:sz w:val="22"/>
                <w:lang w:val="en-US"/>
              </w:rPr>
              <w:t xml:space="preserve">, </w:t>
            </w:r>
            <w:r w:rsidRPr="007D228F">
              <w:rPr>
                <w:rStyle w:val="Strong"/>
                <w:sz w:val="22"/>
                <w:lang w:val="en-US"/>
              </w:rPr>
              <w:t>suite / hospitality expense ($45K)</w:t>
            </w:r>
            <w:r w:rsidRPr="007D228F">
              <w:rPr>
                <w:sz w:val="22"/>
                <w:lang w:val="en-US"/>
              </w:rPr>
              <w:t>, and potentially certain owner-related insurance costs, depending on how a buyer would view replacement executive benefits.</w:t>
            </w:r>
          </w:p>
          <w:p w14:paraId="13AD5833" w14:textId="77777777" w:rsidR="007D228F" w:rsidRPr="007D228F" w:rsidRDefault="007D228F" w:rsidP="007D228F">
            <w:pPr>
              <w:pStyle w:val="ListParagraph"/>
              <w:rPr>
                <w:noProof/>
                <w:sz w:val="22"/>
                <w:lang w:val="en-US"/>
              </w:rPr>
            </w:pPr>
          </w:p>
          <w:p w14:paraId="3D62D5B5" w14:textId="03A478EA" w:rsidR="007D228F" w:rsidRPr="00C747B0" w:rsidRDefault="00C747B0" w:rsidP="007D228F">
            <w:pPr>
              <w:pStyle w:val="Subtitle"/>
              <w:framePr w:wrap="around"/>
              <w:rPr>
                <w:noProof/>
                <w:sz w:val="28"/>
                <w:szCs w:val="28"/>
                <w:lang w:val="en-US"/>
              </w:rPr>
            </w:pPr>
            <w:r w:rsidRPr="00C747B0">
              <w:rPr>
                <w:noProof/>
                <w:sz w:val="28"/>
                <w:szCs w:val="28"/>
                <w:lang w:val="en-US"/>
              </w:rPr>
              <w:t>4.</w:t>
            </w:r>
            <w:r w:rsidR="007D228F" w:rsidRPr="00C747B0">
              <w:rPr>
                <w:noProof/>
                <w:sz w:val="28"/>
                <w:szCs w:val="28"/>
                <w:lang w:val="en-US"/>
              </w:rPr>
              <w:t>buyer concerns</w:t>
            </w:r>
          </w:p>
          <w:p w14:paraId="160027E3" w14:textId="77777777" w:rsidR="007D228F" w:rsidRPr="007D228F" w:rsidRDefault="007D228F" w:rsidP="007D228F">
            <w:pPr>
              <w:pStyle w:val="Subtitle"/>
              <w:framePr w:wrap="around"/>
              <w:rPr>
                <w:noProof/>
                <w:sz w:val="22"/>
                <w:lang w:val="en-US"/>
              </w:rPr>
            </w:pPr>
          </w:p>
          <w:p w14:paraId="69CF2018" w14:textId="51A7EB8E" w:rsidR="007D228F" w:rsidRPr="007D228F" w:rsidRDefault="007D228F" w:rsidP="007D228F">
            <w:pPr>
              <w:pStyle w:val="Contenido"/>
              <w:numPr>
                <w:ilvl w:val="0"/>
                <w:numId w:val="6"/>
              </w:numPr>
              <w:rPr>
                <w:noProof/>
                <w:sz w:val="22"/>
                <w:lang w:val="en-US"/>
              </w:rPr>
            </w:pPr>
            <w:r>
              <w:rPr>
                <w:sz w:val="22"/>
                <w:lang w:val="en-US"/>
              </w:rPr>
              <w:t>T</w:t>
            </w:r>
            <w:r w:rsidRPr="007D228F">
              <w:rPr>
                <w:sz w:val="22"/>
                <w:lang w:val="en-US"/>
              </w:rPr>
              <w:t xml:space="preserve">he </w:t>
            </w:r>
            <w:r w:rsidRPr="007D228F">
              <w:rPr>
                <w:rStyle w:val="Strong"/>
                <w:sz w:val="22"/>
                <w:lang w:val="en-US"/>
              </w:rPr>
              <w:t>quality of FY2025 earnings</w:t>
            </w:r>
            <w:r w:rsidRPr="007D228F">
              <w:rPr>
                <w:sz w:val="22"/>
                <w:lang w:val="en-US"/>
              </w:rPr>
              <w:t xml:space="preserve">. Reported performance includes several items that do not appear fully recurring, including the </w:t>
            </w:r>
            <w:r w:rsidRPr="007D228F">
              <w:rPr>
                <w:rStyle w:val="Strong"/>
                <w:sz w:val="22"/>
                <w:lang w:val="en-US"/>
              </w:rPr>
              <w:t>$250K one-time carrier signing/onboarding bonus</w:t>
            </w:r>
            <w:r w:rsidRPr="007D228F">
              <w:rPr>
                <w:sz w:val="22"/>
                <w:lang w:val="en-US"/>
              </w:rPr>
              <w:t xml:space="preserve"> included in contingent commissions and the </w:t>
            </w:r>
            <w:r w:rsidRPr="007D228F">
              <w:rPr>
                <w:rStyle w:val="Strong"/>
                <w:sz w:val="22"/>
                <w:lang w:val="en-US"/>
              </w:rPr>
              <w:t>$225K referral fee</w:t>
            </w:r>
            <w:r w:rsidRPr="007D228F">
              <w:rPr>
                <w:sz w:val="22"/>
                <w:lang w:val="en-US"/>
              </w:rPr>
              <w:t xml:space="preserve"> included in other income. These items make FY2025 results look stronger than the agency’s normal recurring earnings base and would likely lead a buyer to rely on normalized EBITDA rather than reported earnings.</w:t>
            </w:r>
          </w:p>
          <w:p w14:paraId="1D14A293" w14:textId="1F8D696D" w:rsidR="007D228F" w:rsidRPr="007D228F" w:rsidRDefault="007D228F" w:rsidP="007D228F">
            <w:pPr>
              <w:pStyle w:val="Contenido"/>
              <w:numPr>
                <w:ilvl w:val="0"/>
                <w:numId w:val="6"/>
              </w:numPr>
              <w:rPr>
                <w:noProof/>
                <w:sz w:val="22"/>
                <w:lang w:val="en-US"/>
              </w:rPr>
            </w:pPr>
            <w:r>
              <w:rPr>
                <w:rStyle w:val="Strong"/>
                <w:sz w:val="22"/>
                <w:lang w:val="en-US"/>
              </w:rPr>
              <w:t>O</w:t>
            </w:r>
            <w:r w:rsidRPr="007D228F">
              <w:rPr>
                <w:rStyle w:val="Strong"/>
                <w:sz w:val="22"/>
                <w:lang w:val="en-US"/>
              </w:rPr>
              <w:t>wner dependence and revenue portability</w:t>
            </w:r>
            <w:r w:rsidRPr="007D228F">
              <w:rPr>
                <w:sz w:val="22"/>
                <w:lang w:val="en-US"/>
              </w:rPr>
              <w:t xml:space="preserve">. Tony Marchetti is not only the sole owner, but also the agency’s largest producer, with </w:t>
            </w:r>
            <w:r w:rsidRPr="007D228F">
              <w:rPr>
                <w:rStyle w:val="Strong"/>
                <w:sz w:val="22"/>
                <w:lang w:val="en-US"/>
              </w:rPr>
              <w:t>$2.840M of book revenue</w:t>
            </w:r>
            <w:r w:rsidRPr="007D228F">
              <w:rPr>
                <w:sz w:val="22"/>
                <w:lang w:val="en-US"/>
              </w:rPr>
              <w:t xml:space="preserve">, or </w:t>
            </w:r>
            <w:r w:rsidRPr="007D228F">
              <w:rPr>
                <w:rStyle w:val="Strong"/>
                <w:sz w:val="22"/>
                <w:lang w:val="en-US"/>
              </w:rPr>
              <w:t>29.5% of total agency revenue</w:t>
            </w:r>
            <w:r w:rsidRPr="007D228F">
              <w:rPr>
                <w:sz w:val="22"/>
                <w:lang w:val="en-US"/>
              </w:rPr>
              <w:t>. This creates key-person risk, because a buyer will want to understand how much of the book is tied to Tony personally and how stable that revenue would remain after a transaction.</w:t>
            </w:r>
          </w:p>
          <w:p w14:paraId="49E70583" w14:textId="32BFA314" w:rsidR="007D228F" w:rsidRPr="007D228F" w:rsidRDefault="007D228F" w:rsidP="007D228F">
            <w:pPr>
              <w:pStyle w:val="Contenido"/>
              <w:numPr>
                <w:ilvl w:val="0"/>
                <w:numId w:val="6"/>
              </w:numPr>
              <w:rPr>
                <w:noProof/>
                <w:sz w:val="22"/>
                <w:lang w:val="en-US"/>
              </w:rPr>
            </w:pPr>
            <w:r w:rsidRPr="007D228F">
              <w:rPr>
                <w:rStyle w:val="Strong"/>
                <w:sz w:val="22"/>
                <w:lang w:val="en-US"/>
              </w:rPr>
              <w:t>Related-party arrangements</w:t>
            </w:r>
            <w:r w:rsidRPr="007D228F">
              <w:rPr>
                <w:sz w:val="22"/>
                <w:lang w:val="en-US"/>
              </w:rPr>
              <w:t xml:space="preserve"> would also receive close attention during due diligence. </w:t>
            </w:r>
            <w:r>
              <w:rPr>
                <w:sz w:val="22"/>
                <w:lang w:val="en-US"/>
              </w:rPr>
              <w:t>The company</w:t>
            </w:r>
            <w:r w:rsidRPr="007D228F">
              <w:rPr>
                <w:sz w:val="22"/>
                <w:lang w:val="en-US"/>
              </w:rPr>
              <w:t xml:space="preserve"> moved into a new office building owned by </w:t>
            </w:r>
            <w:r w:rsidRPr="007D228F">
              <w:rPr>
                <w:rStyle w:val="Strong"/>
                <w:sz w:val="22"/>
                <w:lang w:val="en-US"/>
              </w:rPr>
              <w:t>Marchetti Development Group, LLC</w:t>
            </w:r>
            <w:r w:rsidRPr="007D228F">
              <w:rPr>
                <w:sz w:val="22"/>
                <w:lang w:val="en-US"/>
              </w:rPr>
              <w:t>, which is owned by Tony and his wife, and that same related-party group is also one of the agency’s largest client relationships. A buyer would likely test whether these arrangements are priced on market terms and whether they would continue in the same way after closing</w:t>
            </w:r>
          </w:p>
          <w:p w14:paraId="0781FC4B" w14:textId="3540E3DC" w:rsidR="007D228F" w:rsidRPr="007D228F" w:rsidRDefault="007D228F" w:rsidP="004858A7">
            <w:pPr>
              <w:pStyle w:val="Contenido"/>
              <w:numPr>
                <w:ilvl w:val="0"/>
                <w:numId w:val="6"/>
              </w:numPr>
              <w:rPr>
                <w:noProof/>
                <w:sz w:val="22"/>
                <w:lang w:val="en-US"/>
              </w:rPr>
            </w:pPr>
            <w:r w:rsidRPr="007D228F">
              <w:rPr>
                <w:rStyle w:val="Strong"/>
                <w:sz w:val="22"/>
                <w:lang w:val="en-US"/>
              </w:rPr>
              <w:t>The quality of the acquired book of business is a likely buyer concern.</w:t>
            </w:r>
            <w:r w:rsidRPr="007D228F">
              <w:rPr>
                <w:sz w:val="22"/>
                <w:lang w:val="en-US"/>
              </w:rPr>
              <w:t xml:space="preserve"> The acquisition note states that the January 2025 book purchase generated approximately </w:t>
            </w:r>
            <w:r w:rsidRPr="007D228F">
              <w:rPr>
                <w:rStyle w:val="Strong"/>
                <w:sz w:val="22"/>
                <w:lang w:val="en-US"/>
              </w:rPr>
              <w:t>$480K of commission revenue in FY2025</w:t>
            </w:r>
            <w:r w:rsidRPr="007D228F">
              <w:rPr>
                <w:sz w:val="22"/>
                <w:lang w:val="en-US"/>
              </w:rPr>
              <w:t xml:space="preserve">, but retention on the acquired accounts is tracking at only </w:t>
            </w:r>
            <w:r w:rsidRPr="007D228F">
              <w:rPr>
                <w:rStyle w:val="Strong"/>
                <w:sz w:val="22"/>
                <w:lang w:val="en-US"/>
              </w:rPr>
              <w:t>72% through December 2025</w:t>
            </w:r>
            <w:r w:rsidRPr="007D228F">
              <w:rPr>
                <w:sz w:val="22"/>
                <w:lang w:val="en-US"/>
              </w:rPr>
              <w:t xml:space="preserve">. This matters because the acquired revenue is contributing to current performance, but the low retention level suggests that part of this revenue may not be fully durable. As a result, a buyer may underwrite this portion of the business more conservatively during diligence. </w:t>
            </w:r>
          </w:p>
          <w:p w14:paraId="333F8338" w14:textId="25E16C33" w:rsidR="007D228F" w:rsidRPr="00AD5FF4" w:rsidRDefault="007D228F" w:rsidP="007D228F">
            <w:pPr>
              <w:pStyle w:val="Contenido"/>
              <w:numPr>
                <w:ilvl w:val="0"/>
                <w:numId w:val="6"/>
              </w:numPr>
              <w:rPr>
                <w:noProof/>
                <w:lang w:val="en-US"/>
              </w:rPr>
            </w:pPr>
            <w:r w:rsidRPr="007D228F">
              <w:rPr>
                <w:sz w:val="22"/>
                <w:lang w:val="en-US"/>
              </w:rPr>
              <w:t xml:space="preserve">the current reporting package may raise concerns about </w:t>
            </w:r>
            <w:r w:rsidRPr="007D228F">
              <w:rPr>
                <w:rStyle w:val="Strong"/>
                <w:sz w:val="22"/>
                <w:lang w:val="en-US"/>
              </w:rPr>
              <w:t>transaction readiness</w:t>
            </w:r>
            <w:r w:rsidRPr="007D228F">
              <w:rPr>
                <w:sz w:val="22"/>
                <w:lang w:val="en-US"/>
              </w:rPr>
              <w:t>. The financial file includes gaps in compensation support, equity reconciliation, contingent commission support, and acquisition accounting support. Even if the underlying business is attractive, a buyer may view these issues as signs that the company is not fully prepared for a smooth Quality of Earnings process.</w:t>
            </w:r>
          </w:p>
          <w:p w14:paraId="21057E7C" w14:textId="77777777" w:rsidR="004D7EB2" w:rsidRDefault="004D7EB2" w:rsidP="004D7EB2">
            <w:pPr>
              <w:pStyle w:val="Contenido"/>
              <w:rPr>
                <w:noProof/>
                <w:lang w:val="en-US"/>
              </w:rPr>
            </w:pPr>
          </w:p>
          <w:p w14:paraId="1AEDD50A" w14:textId="77777777" w:rsidR="004D7EB2" w:rsidRDefault="004D7EB2" w:rsidP="004D7EB2">
            <w:pPr>
              <w:pStyle w:val="Contenido"/>
              <w:rPr>
                <w:noProof/>
                <w:lang w:val="en-US"/>
              </w:rPr>
            </w:pPr>
          </w:p>
          <w:p w14:paraId="32B7319A" w14:textId="77777777" w:rsidR="004D7EB2" w:rsidRDefault="004D7EB2" w:rsidP="004D7EB2">
            <w:pPr>
              <w:pStyle w:val="Contenido"/>
              <w:rPr>
                <w:noProof/>
                <w:lang w:val="en-US"/>
              </w:rPr>
            </w:pPr>
          </w:p>
          <w:p w14:paraId="16DC1321" w14:textId="06F1AA16" w:rsidR="004D7EB2" w:rsidRPr="004D7EB2" w:rsidRDefault="004D7EB2" w:rsidP="004D7EB2">
            <w:pPr>
              <w:pStyle w:val="Contenido"/>
              <w:rPr>
                <w:noProof/>
                <w:lang w:val="en-US"/>
              </w:rPr>
            </w:pPr>
          </w:p>
        </w:tc>
      </w:tr>
    </w:tbl>
    <w:p w14:paraId="0FEFA148" w14:textId="77777777" w:rsidR="0087605E" w:rsidRPr="001A04E7" w:rsidRDefault="0087605E" w:rsidP="00AB02A7">
      <w:pPr>
        <w:spacing w:after="200"/>
        <w:rPr>
          <w:noProof/>
          <w:lang w:val="en-US"/>
        </w:rPr>
      </w:pPr>
    </w:p>
    <w:sectPr w:rsidR="0087605E" w:rsidRPr="001A04E7" w:rsidSect="00AB02A7">
      <w:headerReference w:type="default" r:id="rId11"/>
      <w:footerReference w:type="default" r:id="rId12"/>
      <w:pgSz w:w="11906" w:h="16838" w:code="9"/>
      <w:pgMar w:top="720" w:right="936" w:bottom="720" w:left="936" w:header="0" w:footer="289" w:gutter="0"/>
      <w:pgNumType w:start="1"/>
      <w:cols w:space="720"/>
      <w:docGrid w:linePitch="38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BD1B236" w14:textId="77777777" w:rsidR="00DA7196" w:rsidRDefault="00DA7196">
      <w:r>
        <w:separator/>
      </w:r>
    </w:p>
    <w:p w14:paraId="76AE82CD" w14:textId="77777777" w:rsidR="00DA7196" w:rsidRDefault="00DA7196"/>
  </w:endnote>
  <w:endnote w:type="continuationSeparator" w:id="0">
    <w:p w14:paraId="7A7EE6C8" w14:textId="77777777" w:rsidR="00DA7196" w:rsidRDefault="00DA7196">
      <w:r>
        <w:continuationSeparator/>
      </w:r>
    </w:p>
    <w:p w14:paraId="71687A0B" w14:textId="77777777" w:rsidR="00DA7196" w:rsidRDefault="00DA7196"/>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noProof/>
      </w:rPr>
      <w:id w:val="-890194395"/>
      <w:docPartObj>
        <w:docPartGallery w:val="Page Numbers (Bottom of Page)"/>
        <w:docPartUnique/>
      </w:docPartObj>
    </w:sdtPr>
    <w:sdtContent>
      <w:p w14:paraId="6FBCBA0C" w14:textId="77777777" w:rsidR="00DF027C" w:rsidRDefault="00DF027C">
        <w:pPr>
          <w:pStyle w:val="Footer"/>
          <w:jc w:val="center"/>
          <w:rPr>
            <w:noProof/>
          </w:rPr>
        </w:pPr>
        <w:r>
          <w:rPr>
            <w:noProof/>
            <w:lang w:bidi="es-ES"/>
          </w:rPr>
          <w:fldChar w:fldCharType="begin"/>
        </w:r>
        <w:r>
          <w:rPr>
            <w:noProof/>
            <w:lang w:bidi="es-ES"/>
          </w:rPr>
          <w:instrText xml:space="preserve"> PAGE   \* MERGEFORMAT </w:instrText>
        </w:r>
        <w:r>
          <w:rPr>
            <w:noProof/>
            <w:lang w:bidi="es-ES"/>
          </w:rPr>
          <w:fldChar w:fldCharType="separate"/>
        </w:r>
        <w:r w:rsidR="00AB02A7">
          <w:rPr>
            <w:noProof/>
            <w:lang w:bidi="es-ES"/>
          </w:rPr>
          <w:t>2</w:t>
        </w:r>
        <w:r>
          <w:rPr>
            <w:noProof/>
            <w:lang w:bidi="es-ES"/>
          </w:rPr>
          <w:fldChar w:fldCharType="end"/>
        </w:r>
      </w:p>
    </w:sdtContent>
  </w:sdt>
  <w:p w14:paraId="363A635C" w14:textId="77777777" w:rsidR="00DF027C" w:rsidRDefault="00DF027C">
    <w:pPr>
      <w:pStyle w:val="Footer"/>
      <w:rPr>
        <w:noProof/>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0B8810C" w14:textId="77777777" w:rsidR="00DA7196" w:rsidRDefault="00DA7196">
      <w:r>
        <w:separator/>
      </w:r>
    </w:p>
    <w:p w14:paraId="513B78B5" w14:textId="77777777" w:rsidR="00DA7196" w:rsidRDefault="00DA7196"/>
  </w:footnote>
  <w:footnote w:type="continuationSeparator" w:id="0">
    <w:p w14:paraId="20F64E3A" w14:textId="77777777" w:rsidR="00DA7196" w:rsidRDefault="00DA7196">
      <w:r>
        <w:continuationSeparator/>
      </w:r>
    </w:p>
    <w:p w14:paraId="2423C749" w14:textId="77777777" w:rsidR="00DA7196" w:rsidRDefault="00DA7196"/>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10035" w:type="dxa"/>
      <w:tblBorders>
        <w:top w:val="single" w:sz="36" w:space="0" w:color="082A75" w:themeColor="text2"/>
        <w:left w:val="single" w:sz="36" w:space="0" w:color="082A75" w:themeColor="text2"/>
        <w:bottom w:val="single" w:sz="36" w:space="0" w:color="082A75" w:themeColor="text2"/>
        <w:right w:val="single" w:sz="36" w:space="0" w:color="082A75" w:themeColor="text2"/>
        <w:insideH w:val="single" w:sz="36" w:space="0" w:color="082A75" w:themeColor="text2"/>
        <w:insideV w:val="single" w:sz="36" w:space="0" w:color="082A75" w:themeColor="text2"/>
      </w:tblBorders>
      <w:tblLook w:val="0000" w:firstRow="0" w:lastRow="0" w:firstColumn="0" w:lastColumn="0" w:noHBand="0" w:noVBand="0"/>
    </w:tblPr>
    <w:tblGrid>
      <w:gridCol w:w="10035"/>
    </w:tblGrid>
    <w:tr w:rsidR="00D077E9" w14:paraId="78238950" w14:textId="77777777" w:rsidTr="00360494">
      <w:trPr>
        <w:trHeight w:val="978"/>
      </w:trPr>
      <w:tc>
        <w:tcPr>
          <w:tcW w:w="10035" w:type="dxa"/>
          <w:tcBorders>
            <w:top w:val="nil"/>
            <w:left w:val="nil"/>
            <w:bottom w:val="single" w:sz="36" w:space="0" w:color="34ABA2" w:themeColor="accent3"/>
            <w:right w:val="nil"/>
          </w:tcBorders>
        </w:tcPr>
        <w:p w14:paraId="583804F8" w14:textId="77777777" w:rsidR="00D077E9" w:rsidRDefault="00D077E9">
          <w:pPr>
            <w:pStyle w:val="Header"/>
            <w:rPr>
              <w:noProof/>
            </w:rPr>
          </w:pPr>
        </w:p>
      </w:tc>
    </w:tr>
  </w:tbl>
  <w:p w14:paraId="0657BF7F" w14:textId="77777777" w:rsidR="00D077E9" w:rsidRDefault="00D077E9" w:rsidP="00D077E9">
    <w:pPr>
      <w:pStyle w:val="Header"/>
      <w:rPr>
        <w:noProof/>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1DA632F"/>
    <w:multiLevelType w:val="hybridMultilevel"/>
    <w:tmpl w:val="18C0D778"/>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 w15:restartNumberingAfterBreak="0">
    <w:nsid w:val="321211BB"/>
    <w:multiLevelType w:val="multilevel"/>
    <w:tmpl w:val="B82025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4380A9A"/>
    <w:multiLevelType w:val="hybridMultilevel"/>
    <w:tmpl w:val="4716A31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 w15:restartNumberingAfterBreak="0">
    <w:nsid w:val="3D33123B"/>
    <w:multiLevelType w:val="hybridMultilevel"/>
    <w:tmpl w:val="43AEBAC4"/>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 w15:restartNumberingAfterBreak="0">
    <w:nsid w:val="41F2237C"/>
    <w:multiLevelType w:val="hybridMultilevel"/>
    <w:tmpl w:val="BAC0DBFA"/>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5" w15:restartNumberingAfterBreak="0">
    <w:nsid w:val="4DE76C50"/>
    <w:multiLevelType w:val="hybridMultilevel"/>
    <w:tmpl w:val="0304F82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 w15:restartNumberingAfterBreak="0">
    <w:nsid w:val="53E24EA5"/>
    <w:multiLevelType w:val="hybridMultilevel"/>
    <w:tmpl w:val="923C9AD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16cid:durableId="1751808098">
    <w:abstractNumId w:val="3"/>
  </w:num>
  <w:num w:numId="2" w16cid:durableId="240455745">
    <w:abstractNumId w:val="2"/>
  </w:num>
  <w:num w:numId="3" w16cid:durableId="905602387">
    <w:abstractNumId w:val="4"/>
  </w:num>
  <w:num w:numId="4" w16cid:durableId="1697341526">
    <w:abstractNumId w:val="1"/>
  </w:num>
  <w:num w:numId="5" w16cid:durableId="642390963">
    <w:abstractNumId w:val="6"/>
  </w:num>
  <w:num w:numId="6" w16cid:durableId="668873813">
    <w:abstractNumId w:val="5"/>
  </w:num>
  <w:num w:numId="7" w16cid:durableId="26850753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0"/>
  <w:attachedTemplate r:id="rId1"/>
  <w:defaultTabStop w:val="720"/>
  <w:hyphenationZone w:val="425"/>
  <w:drawingGridHorizontalSpacing w:val="12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3843"/>
    <w:rsid w:val="0002482E"/>
    <w:rsid w:val="00050324"/>
    <w:rsid w:val="0006260A"/>
    <w:rsid w:val="000747A0"/>
    <w:rsid w:val="00083448"/>
    <w:rsid w:val="000A0150"/>
    <w:rsid w:val="000D2E9A"/>
    <w:rsid w:val="000E63C9"/>
    <w:rsid w:val="00130E9D"/>
    <w:rsid w:val="00150A6D"/>
    <w:rsid w:val="00185B35"/>
    <w:rsid w:val="001A04E7"/>
    <w:rsid w:val="001F2BC8"/>
    <w:rsid w:val="001F5F6B"/>
    <w:rsid w:val="00243EBC"/>
    <w:rsid w:val="00246A35"/>
    <w:rsid w:val="00284348"/>
    <w:rsid w:val="002F51F5"/>
    <w:rsid w:val="00312137"/>
    <w:rsid w:val="00330359"/>
    <w:rsid w:val="0033762F"/>
    <w:rsid w:val="00360494"/>
    <w:rsid w:val="00366C7E"/>
    <w:rsid w:val="00384EA3"/>
    <w:rsid w:val="003A39A1"/>
    <w:rsid w:val="003C2191"/>
    <w:rsid w:val="003D3863"/>
    <w:rsid w:val="004110DE"/>
    <w:rsid w:val="00412710"/>
    <w:rsid w:val="0044085A"/>
    <w:rsid w:val="004B21A5"/>
    <w:rsid w:val="004D7EB2"/>
    <w:rsid w:val="004E5FEE"/>
    <w:rsid w:val="005037F0"/>
    <w:rsid w:val="00516A86"/>
    <w:rsid w:val="005275F6"/>
    <w:rsid w:val="00572102"/>
    <w:rsid w:val="005756C8"/>
    <w:rsid w:val="005F1BB0"/>
    <w:rsid w:val="00656C4D"/>
    <w:rsid w:val="006E5716"/>
    <w:rsid w:val="007302B3"/>
    <w:rsid w:val="00730733"/>
    <w:rsid w:val="007309A6"/>
    <w:rsid w:val="00730E3A"/>
    <w:rsid w:val="00736AAF"/>
    <w:rsid w:val="00765B2A"/>
    <w:rsid w:val="007702A5"/>
    <w:rsid w:val="00783A34"/>
    <w:rsid w:val="007C4542"/>
    <w:rsid w:val="007C6B52"/>
    <w:rsid w:val="007D16C5"/>
    <w:rsid w:val="007D228F"/>
    <w:rsid w:val="00816788"/>
    <w:rsid w:val="0085052E"/>
    <w:rsid w:val="00862FE4"/>
    <w:rsid w:val="0086389A"/>
    <w:rsid w:val="0087605E"/>
    <w:rsid w:val="008941AE"/>
    <w:rsid w:val="008B1FEE"/>
    <w:rsid w:val="00903C32"/>
    <w:rsid w:val="00916B16"/>
    <w:rsid w:val="009173B9"/>
    <w:rsid w:val="0093335D"/>
    <w:rsid w:val="0093613E"/>
    <w:rsid w:val="00943026"/>
    <w:rsid w:val="00961675"/>
    <w:rsid w:val="00966B81"/>
    <w:rsid w:val="00977F79"/>
    <w:rsid w:val="009B74AF"/>
    <w:rsid w:val="009C51A0"/>
    <w:rsid w:val="009C7720"/>
    <w:rsid w:val="009F6987"/>
    <w:rsid w:val="00A23AFA"/>
    <w:rsid w:val="00A31B3E"/>
    <w:rsid w:val="00A532F3"/>
    <w:rsid w:val="00A55822"/>
    <w:rsid w:val="00A8489E"/>
    <w:rsid w:val="00AB02A7"/>
    <w:rsid w:val="00AC29F3"/>
    <w:rsid w:val="00AD5FF4"/>
    <w:rsid w:val="00B231E5"/>
    <w:rsid w:val="00C02B87"/>
    <w:rsid w:val="00C030AE"/>
    <w:rsid w:val="00C4086D"/>
    <w:rsid w:val="00C50EB7"/>
    <w:rsid w:val="00C747B0"/>
    <w:rsid w:val="00CA1896"/>
    <w:rsid w:val="00CB57B0"/>
    <w:rsid w:val="00CB5B28"/>
    <w:rsid w:val="00CF5371"/>
    <w:rsid w:val="00D0323A"/>
    <w:rsid w:val="00D0559F"/>
    <w:rsid w:val="00D064B5"/>
    <w:rsid w:val="00D077E9"/>
    <w:rsid w:val="00D42CB7"/>
    <w:rsid w:val="00D5413D"/>
    <w:rsid w:val="00D55E43"/>
    <w:rsid w:val="00D570A9"/>
    <w:rsid w:val="00D70D02"/>
    <w:rsid w:val="00D770C7"/>
    <w:rsid w:val="00D86945"/>
    <w:rsid w:val="00D90290"/>
    <w:rsid w:val="00DA7196"/>
    <w:rsid w:val="00DC706A"/>
    <w:rsid w:val="00DD152F"/>
    <w:rsid w:val="00DE213F"/>
    <w:rsid w:val="00DF027C"/>
    <w:rsid w:val="00E00A32"/>
    <w:rsid w:val="00E22ACD"/>
    <w:rsid w:val="00E620B0"/>
    <w:rsid w:val="00E71CFB"/>
    <w:rsid w:val="00E81B40"/>
    <w:rsid w:val="00ED56F6"/>
    <w:rsid w:val="00EF555B"/>
    <w:rsid w:val="00F027BB"/>
    <w:rsid w:val="00F11DCF"/>
    <w:rsid w:val="00F14488"/>
    <w:rsid w:val="00F162EA"/>
    <w:rsid w:val="00F2377B"/>
    <w:rsid w:val="00F33843"/>
    <w:rsid w:val="00F52D27"/>
    <w:rsid w:val="00F5393D"/>
    <w:rsid w:val="00F83527"/>
    <w:rsid w:val="00FD583F"/>
    <w:rsid w:val="00FD7488"/>
    <w:rsid w:val="00FF16B4"/>
  </w:rsids>
  <m:mathPr>
    <m:mathFont m:val="Cambria Math"/>
    <m:brkBin m:val="before"/>
    <m:brkBinSub m:val="--"/>
    <m:smallFrac m:val="0"/>
    <m:dispDef/>
    <m:lMargin m:val="1440"/>
    <m:rMargin m:val="1440"/>
    <m:defJc m:val="centerGroup"/>
    <m:wrapIndent m:val="1440"/>
    <m:intLim m:val="subSup"/>
    <m:naryLim m:val="undOvr"/>
  </m:mathPr>
  <w:attachedSchema w:val="urn:DocumentPartTemplate"/>
  <w:attachedSchema w:val="http://schemas.microsoft.com/temp/samples"/>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2232DAC"/>
  <w15:docId w15:val="{89D0C63B-CED2-44A2-8B71-0BBD13E848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4"/>
        <w:szCs w:val="24"/>
        <w:lang w:val="es-E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7" w:qFormat="1"/>
    <w:lsdException w:name="heading 2" w:uiPriority="4" w:qFormat="1"/>
    <w:lsdException w:name="heading 3" w:semiHidden="1" w:uiPriority="5" w:unhideWhenUsed="1" w:qFormat="1"/>
    <w:lsdException w:name="heading 4" w:semiHidden="1" w:uiPriority="1" w:unhideWhenUsed="1" w:qFormat="1"/>
    <w:lsdException w:name="heading 5" w:semiHidden="1" w:uiPriority="1" w:unhideWhenUsed="1" w:qFormat="1"/>
    <w:lsdException w:name="heading 6" w:semiHidden="1" w:uiPriority="1" w:unhideWhenUsed="1" w:qFormat="1"/>
    <w:lsdException w:name="heading 7" w:semiHidden="1" w:uiPriority="1" w:unhideWhenUsed="1" w:qFormat="1"/>
    <w:lsdException w:name="heading 8" w:semiHidden="1" w:uiPriority="1" w:unhideWhenUsed="1" w:qFormat="1"/>
    <w:lsdException w:name="heading 9" w:semiHidden="1" w:uiPriority="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5"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3" w:unhideWhenUsed="1" w:qFormat="1"/>
    <w:lsdException w:name="Hyperlink" w:semiHidden="1" w:unhideWhenUsed="1"/>
    <w:lsdException w:name="FollowedHyperlink" w:semiHidden="1" w:unhideWhenUsed="1"/>
    <w:lsdException w:name="Strong" w:semiHidden="1" w:uiPriority="22" w:unhideWhenUsed="1" w:qFormat="1"/>
    <w:lsdException w:name="Emphasis" w:semiHidden="1" w:uiPriority="2"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1"/>
    <w:lsdException w:name="Table Theme" w:semiHidden="1" w:unhideWhenUsed="1"/>
    <w:lsdException w:name="Placeholder Text" w:semiHidden="1" w:unhideWhenUsed="1"/>
    <w:lsdException w:name="No Spacing"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86945"/>
    <w:pPr>
      <w:spacing w:after="0"/>
    </w:pPr>
    <w:rPr>
      <w:rFonts w:eastAsiaTheme="minorEastAsia"/>
      <w:b/>
      <w:color w:val="082A75" w:themeColor="text2"/>
      <w:sz w:val="28"/>
      <w:szCs w:val="22"/>
    </w:rPr>
  </w:style>
  <w:style w:type="paragraph" w:styleId="Heading1">
    <w:name w:val="heading 1"/>
    <w:basedOn w:val="Normal"/>
    <w:link w:val="Heading1Char"/>
    <w:uiPriority w:val="4"/>
    <w:qFormat/>
    <w:rsid w:val="00D077E9"/>
    <w:pPr>
      <w:keepNext/>
      <w:spacing w:before="240" w:after="60"/>
      <w:outlineLvl w:val="0"/>
    </w:pPr>
    <w:rPr>
      <w:rFonts w:asciiTheme="majorHAnsi" w:eastAsiaTheme="majorEastAsia" w:hAnsiTheme="majorHAnsi" w:cstheme="majorBidi"/>
      <w:color w:val="061F57" w:themeColor="text2" w:themeShade="BF"/>
      <w:kern w:val="28"/>
      <w:sz w:val="52"/>
      <w:szCs w:val="32"/>
    </w:rPr>
  </w:style>
  <w:style w:type="paragraph" w:styleId="Heading2">
    <w:name w:val="heading 2"/>
    <w:basedOn w:val="Normal"/>
    <w:next w:val="Normal"/>
    <w:link w:val="Heading2Char"/>
    <w:uiPriority w:val="4"/>
    <w:qFormat/>
    <w:rsid w:val="00DF027C"/>
    <w:pPr>
      <w:keepNext/>
      <w:spacing w:after="240" w:line="240" w:lineRule="auto"/>
      <w:outlineLvl w:val="1"/>
    </w:pPr>
    <w:rPr>
      <w:rFonts w:eastAsiaTheme="majorEastAsia" w:cstheme="majorBidi"/>
      <w:b w:val="0"/>
      <w:sz w:val="36"/>
      <w:szCs w:val="26"/>
    </w:rPr>
  </w:style>
  <w:style w:type="paragraph" w:styleId="Heading3">
    <w:name w:val="heading 3"/>
    <w:basedOn w:val="Normal"/>
    <w:next w:val="Normal"/>
    <w:link w:val="Heading3Char"/>
    <w:uiPriority w:val="5"/>
    <w:semiHidden/>
    <w:unhideWhenUsed/>
    <w:qFormat/>
    <w:rsid w:val="00816788"/>
    <w:pPr>
      <w:keepNext/>
      <w:keepLines/>
      <w:spacing w:before="40"/>
      <w:outlineLvl w:val="2"/>
    </w:pPr>
    <w:rPr>
      <w:rFonts w:asciiTheme="majorHAnsi" w:eastAsiaTheme="majorEastAsia" w:hAnsiTheme="majorHAnsi" w:cstheme="majorBidi"/>
      <w:color w:val="012639"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Pr>
      <w:rFonts w:ascii="Tahoma" w:hAnsi="Tahoma" w:cs="Tahoma"/>
      <w:sz w:val="16"/>
      <w:szCs w:val="16"/>
    </w:rPr>
  </w:style>
  <w:style w:type="character" w:customStyle="1" w:styleId="BalloonTextChar">
    <w:name w:val="Balloon Text Char"/>
    <w:basedOn w:val="DefaultParagraphFont"/>
    <w:link w:val="BalloonText"/>
    <w:uiPriority w:val="99"/>
    <w:semiHidden/>
    <w:rPr>
      <w:rFonts w:ascii="Tahoma" w:hAnsi="Tahoma" w:cs="Tahoma"/>
      <w:sz w:val="16"/>
      <w:szCs w:val="16"/>
    </w:rPr>
  </w:style>
  <w:style w:type="paragraph" w:styleId="Title">
    <w:name w:val="Title"/>
    <w:basedOn w:val="Normal"/>
    <w:link w:val="TitleChar"/>
    <w:uiPriority w:val="1"/>
    <w:qFormat/>
    <w:rsid w:val="00D86945"/>
    <w:pPr>
      <w:spacing w:after="200" w:line="240" w:lineRule="auto"/>
    </w:pPr>
    <w:rPr>
      <w:rFonts w:asciiTheme="majorHAnsi" w:eastAsiaTheme="majorEastAsia" w:hAnsiTheme="majorHAnsi" w:cstheme="majorBidi"/>
      <w:bCs/>
      <w:sz w:val="72"/>
      <w:szCs w:val="52"/>
    </w:rPr>
  </w:style>
  <w:style w:type="character" w:customStyle="1" w:styleId="TitleChar">
    <w:name w:val="Title Char"/>
    <w:basedOn w:val="DefaultParagraphFont"/>
    <w:link w:val="Title"/>
    <w:uiPriority w:val="1"/>
    <w:rsid w:val="00D86945"/>
    <w:rPr>
      <w:rFonts w:asciiTheme="majorHAnsi" w:eastAsiaTheme="majorEastAsia" w:hAnsiTheme="majorHAnsi" w:cstheme="majorBidi"/>
      <w:b/>
      <w:bCs/>
      <w:color w:val="082A75" w:themeColor="text2"/>
      <w:sz w:val="72"/>
      <w:szCs w:val="52"/>
    </w:rPr>
  </w:style>
  <w:style w:type="paragraph" w:styleId="Subtitle">
    <w:name w:val="Subtitle"/>
    <w:basedOn w:val="Normal"/>
    <w:link w:val="SubtitleChar"/>
    <w:uiPriority w:val="2"/>
    <w:qFormat/>
    <w:rsid w:val="00D86945"/>
    <w:pPr>
      <w:framePr w:hSpace="180" w:wrap="around" w:vAnchor="text" w:hAnchor="margin" w:y="1167"/>
    </w:pPr>
    <w:rPr>
      <w:b w:val="0"/>
      <w:caps/>
      <w:spacing w:val="20"/>
      <w:sz w:val="32"/>
    </w:rPr>
  </w:style>
  <w:style w:type="character" w:customStyle="1" w:styleId="SubtitleChar">
    <w:name w:val="Subtitle Char"/>
    <w:basedOn w:val="DefaultParagraphFont"/>
    <w:link w:val="Subtitle"/>
    <w:uiPriority w:val="2"/>
    <w:rsid w:val="00D86945"/>
    <w:rPr>
      <w:rFonts w:eastAsiaTheme="minorEastAsia"/>
      <w:caps/>
      <w:color w:val="082A75" w:themeColor="text2"/>
      <w:spacing w:val="20"/>
      <w:sz w:val="32"/>
      <w:szCs w:val="22"/>
    </w:rPr>
  </w:style>
  <w:style w:type="character" w:customStyle="1" w:styleId="Heading1Char">
    <w:name w:val="Heading 1 Char"/>
    <w:basedOn w:val="DefaultParagraphFont"/>
    <w:link w:val="Heading1"/>
    <w:uiPriority w:val="4"/>
    <w:rsid w:val="00D077E9"/>
    <w:rPr>
      <w:rFonts w:asciiTheme="majorHAnsi" w:eastAsiaTheme="majorEastAsia" w:hAnsiTheme="majorHAnsi" w:cstheme="majorBidi"/>
      <w:b/>
      <w:color w:val="061F57" w:themeColor="text2" w:themeShade="BF"/>
      <w:kern w:val="28"/>
      <w:sz w:val="52"/>
      <w:szCs w:val="32"/>
    </w:rPr>
  </w:style>
  <w:style w:type="paragraph" w:styleId="Header">
    <w:name w:val="header"/>
    <w:basedOn w:val="Normal"/>
    <w:link w:val="HeaderChar"/>
    <w:uiPriority w:val="8"/>
    <w:unhideWhenUsed/>
    <w:rsid w:val="005037F0"/>
  </w:style>
  <w:style w:type="character" w:customStyle="1" w:styleId="HeaderChar">
    <w:name w:val="Header Char"/>
    <w:basedOn w:val="DefaultParagraphFont"/>
    <w:link w:val="Header"/>
    <w:uiPriority w:val="8"/>
    <w:rsid w:val="0093335D"/>
  </w:style>
  <w:style w:type="paragraph" w:styleId="Footer">
    <w:name w:val="footer"/>
    <w:basedOn w:val="Normal"/>
    <w:link w:val="FooterChar"/>
    <w:uiPriority w:val="99"/>
    <w:unhideWhenUsed/>
    <w:rsid w:val="005037F0"/>
  </w:style>
  <w:style w:type="character" w:customStyle="1" w:styleId="FooterChar">
    <w:name w:val="Footer Char"/>
    <w:basedOn w:val="DefaultParagraphFont"/>
    <w:link w:val="Footer"/>
    <w:uiPriority w:val="99"/>
    <w:rsid w:val="005037F0"/>
    <w:rPr>
      <w:sz w:val="24"/>
      <w:szCs w:val="24"/>
    </w:rPr>
  </w:style>
  <w:style w:type="paragraph" w:customStyle="1" w:styleId="Nombre">
    <w:name w:val="Nombre"/>
    <w:basedOn w:val="Normal"/>
    <w:uiPriority w:val="3"/>
    <w:qFormat/>
    <w:rsid w:val="00B231E5"/>
    <w:pPr>
      <w:spacing w:line="240" w:lineRule="auto"/>
      <w:jc w:val="right"/>
    </w:pPr>
  </w:style>
  <w:style w:type="character" w:customStyle="1" w:styleId="Heading2Char">
    <w:name w:val="Heading 2 Char"/>
    <w:basedOn w:val="DefaultParagraphFont"/>
    <w:link w:val="Heading2"/>
    <w:uiPriority w:val="4"/>
    <w:rsid w:val="00DF027C"/>
    <w:rPr>
      <w:rFonts w:eastAsiaTheme="majorEastAsia" w:cstheme="majorBidi"/>
      <w:color w:val="082A75" w:themeColor="text2"/>
      <w:sz w:val="36"/>
      <w:szCs w:val="26"/>
    </w:rPr>
  </w:style>
  <w:style w:type="table" w:styleId="TableGrid">
    <w:name w:val="Table Grid"/>
    <w:basedOn w:val="TableNormal"/>
    <w:uiPriority w:val="1"/>
    <w:rsid w:val="00FF16B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unhideWhenUsed/>
    <w:rsid w:val="00D86945"/>
    <w:rPr>
      <w:color w:val="808080"/>
    </w:rPr>
  </w:style>
  <w:style w:type="paragraph" w:customStyle="1" w:styleId="Contenido">
    <w:name w:val="Contenido"/>
    <w:basedOn w:val="Normal"/>
    <w:link w:val="Carcterdecontenido"/>
    <w:qFormat/>
    <w:rsid w:val="00DF027C"/>
    <w:rPr>
      <w:b w:val="0"/>
    </w:rPr>
  </w:style>
  <w:style w:type="paragraph" w:customStyle="1" w:styleId="Textodestacado">
    <w:name w:val="Texto destacado"/>
    <w:basedOn w:val="Normal"/>
    <w:link w:val="Carcterdetextodestacado"/>
    <w:qFormat/>
    <w:rsid w:val="00DF027C"/>
  </w:style>
  <w:style w:type="character" w:customStyle="1" w:styleId="Carcterdecontenido">
    <w:name w:val="Carácter de contenido"/>
    <w:basedOn w:val="DefaultParagraphFont"/>
    <w:link w:val="Contenido"/>
    <w:rsid w:val="00DF027C"/>
    <w:rPr>
      <w:rFonts w:eastAsiaTheme="minorEastAsia"/>
      <w:color w:val="082A75" w:themeColor="text2"/>
      <w:sz w:val="28"/>
      <w:szCs w:val="22"/>
    </w:rPr>
  </w:style>
  <w:style w:type="character" w:customStyle="1" w:styleId="Carcterdetextodestacado">
    <w:name w:val="Carácter de texto destacado"/>
    <w:basedOn w:val="DefaultParagraphFont"/>
    <w:link w:val="Textodestacado"/>
    <w:rsid w:val="00DF027C"/>
    <w:rPr>
      <w:rFonts w:eastAsiaTheme="minorEastAsia"/>
      <w:b/>
      <w:color w:val="082A75" w:themeColor="text2"/>
      <w:sz w:val="28"/>
      <w:szCs w:val="22"/>
    </w:rPr>
  </w:style>
  <w:style w:type="paragraph" w:styleId="ListParagraph">
    <w:name w:val="List Paragraph"/>
    <w:basedOn w:val="Normal"/>
    <w:uiPriority w:val="34"/>
    <w:semiHidden/>
    <w:unhideWhenUsed/>
    <w:qFormat/>
    <w:rsid w:val="00E71CFB"/>
    <w:pPr>
      <w:ind w:left="720"/>
      <w:contextualSpacing/>
    </w:pPr>
  </w:style>
  <w:style w:type="character" w:styleId="Strong">
    <w:name w:val="Strong"/>
    <w:basedOn w:val="DefaultParagraphFont"/>
    <w:uiPriority w:val="22"/>
    <w:qFormat/>
    <w:rsid w:val="00083448"/>
    <w:rPr>
      <w:b/>
      <w:bCs/>
    </w:rPr>
  </w:style>
  <w:style w:type="character" w:customStyle="1" w:styleId="Heading3Char">
    <w:name w:val="Heading 3 Char"/>
    <w:basedOn w:val="DefaultParagraphFont"/>
    <w:link w:val="Heading3"/>
    <w:uiPriority w:val="5"/>
    <w:semiHidden/>
    <w:rsid w:val="00816788"/>
    <w:rPr>
      <w:rFonts w:asciiTheme="majorHAnsi" w:eastAsiaTheme="majorEastAsia" w:hAnsiTheme="majorHAnsi" w:cstheme="majorBidi"/>
      <w:b/>
      <w:color w:val="012639" w:themeColor="accent1" w:themeShade="7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459191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glossaryDocument" Target="glossary/document.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Lenovo\AppData\Roaming\Microsoft\Templates\Informe%20.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docParts>
    <w:docPart>
      <w:docPartPr>
        <w:name w:val="EA00C431018B41098F55FA780F7C6CBE"/>
        <w:category>
          <w:name w:val="General"/>
          <w:gallery w:val="placeholder"/>
        </w:category>
        <w:types>
          <w:type w:val="bbPlcHdr"/>
        </w:types>
        <w:behaviors>
          <w:behavior w:val="content"/>
        </w:behaviors>
        <w:guid w:val="{9894116D-4D14-48EE-A463-437F8B54A017}"/>
      </w:docPartPr>
      <w:docPartBody>
        <w:p w:rsidR="00A86218" w:rsidRDefault="00000000">
          <w:pPr>
            <w:pStyle w:val="EA00C431018B41098F55FA780F7C6CBE"/>
          </w:pPr>
          <w:r w:rsidRPr="00D86945">
            <w:rPr>
              <w:rStyle w:val="SubtitleChar"/>
              <w:b/>
              <w:lang w:bidi="es-ES"/>
            </w:rPr>
            <w:fldChar w:fldCharType="begin"/>
          </w:r>
          <w:r w:rsidRPr="00D86945">
            <w:rPr>
              <w:rStyle w:val="SubtitleChar"/>
              <w:lang w:bidi="es-ES"/>
            </w:rPr>
            <w:instrText xml:space="preserve"> DATE  \@ "MMMM d"  \* MERGEFORMAT </w:instrText>
          </w:r>
          <w:r w:rsidRPr="00D86945">
            <w:rPr>
              <w:rStyle w:val="SubtitleChar"/>
              <w:b/>
              <w:lang w:bidi="es-ES"/>
            </w:rPr>
            <w:fldChar w:fldCharType="separate"/>
          </w:r>
          <w:r>
            <w:rPr>
              <w:rStyle w:val="SubtitleChar"/>
              <w:lang w:bidi="es-ES"/>
            </w:rPr>
            <w:t>abril 5</w:t>
          </w:r>
          <w:r w:rsidRPr="00D86945">
            <w:rPr>
              <w:rStyle w:val="SubtitleChar"/>
              <w:b/>
              <w:lang w:bidi="es-ES"/>
            </w:rPr>
            <w:fldChar w:fldCharType="end"/>
          </w:r>
        </w:p>
      </w:docPartBody>
    </w:docPart>
    <w:docPart>
      <w:docPartPr>
        <w:name w:val="E2C491F9A00D47E98F3589E8397904F7"/>
        <w:category>
          <w:name w:val="General"/>
          <w:gallery w:val="placeholder"/>
        </w:category>
        <w:types>
          <w:type w:val="bbPlcHdr"/>
        </w:types>
        <w:behaviors>
          <w:behavior w:val="content"/>
        </w:behaviors>
        <w:guid w:val="{8811AE1E-6642-4E1F-8B36-660B795B874B}"/>
      </w:docPartPr>
      <w:docPartBody>
        <w:p w:rsidR="00A86218" w:rsidRDefault="00000000">
          <w:pPr>
            <w:pStyle w:val="E2C491F9A00D47E98F3589E8397904F7"/>
          </w:pPr>
          <w:r>
            <w:rPr>
              <w:noProof/>
              <w:lang w:bidi="es-ES"/>
            </w:rPr>
            <w:t>NOMBRE DE LA COMPAÑÍA</w:t>
          </w:r>
        </w:p>
      </w:docPartBody>
    </w:docPart>
    <w:docPart>
      <w:docPartPr>
        <w:name w:val="54187415001E44B5935265CE1691A5C3"/>
        <w:category>
          <w:name w:val="General"/>
          <w:gallery w:val="placeholder"/>
        </w:category>
        <w:types>
          <w:type w:val="bbPlcHdr"/>
        </w:types>
        <w:behaviors>
          <w:behavior w:val="content"/>
        </w:behaviors>
        <w:guid w:val="{B8BAAD31-57EF-46BF-8571-C14D79CC4BFA}"/>
      </w:docPartPr>
      <w:docPartBody>
        <w:p w:rsidR="00A86218" w:rsidRDefault="00000000">
          <w:pPr>
            <w:pStyle w:val="54187415001E44B5935265CE1691A5C3"/>
          </w:pPr>
          <w:r>
            <w:rPr>
              <w:noProof/>
              <w:lang w:bidi="es-ES"/>
            </w:rPr>
            <w:t>Su nombre</w:t>
          </w:r>
        </w:p>
      </w:docPartBody>
    </w:docPart>
    <w:docPart>
      <w:docPartPr>
        <w:name w:val="E57802EACAA24F16BEE7BB43E0A47A29"/>
        <w:category>
          <w:name w:val="General"/>
          <w:gallery w:val="placeholder"/>
        </w:category>
        <w:types>
          <w:type w:val="bbPlcHdr"/>
        </w:types>
        <w:behaviors>
          <w:behavior w:val="content"/>
        </w:behaviors>
        <w:guid w:val="{57BE975B-0D3C-4D5C-8B13-FB9A2D744B8F}"/>
      </w:docPartPr>
      <w:docPartBody>
        <w:p w:rsidR="00A86218" w:rsidRDefault="00000000">
          <w:pPr>
            <w:pStyle w:val="E57802EACAA24F16BEE7BB43E0A47A29"/>
          </w:pPr>
          <w:r w:rsidRPr="00DF027C">
            <w:rPr>
              <w:noProof/>
              <w:lang w:bidi="es-ES"/>
            </w:rPr>
            <w:t>Texto del subtítulo aquí</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0981"/>
    <w:rsid w:val="000D2E9A"/>
    <w:rsid w:val="00590981"/>
    <w:rsid w:val="006967BF"/>
    <w:rsid w:val="00A86218"/>
    <w:rsid w:val="00F02F43"/>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2"/>
        <w:szCs w:val="22"/>
        <w:lang w:val="es-CO" w:eastAsia="es-CO"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2"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Subtitle">
    <w:name w:val="Subtitle"/>
    <w:basedOn w:val="Normal"/>
    <w:link w:val="SubtitleChar"/>
    <w:uiPriority w:val="2"/>
    <w:qFormat/>
    <w:pPr>
      <w:framePr w:hSpace="180" w:wrap="around" w:vAnchor="text" w:hAnchor="margin" w:y="1167"/>
      <w:spacing w:after="0" w:line="276" w:lineRule="auto"/>
    </w:pPr>
    <w:rPr>
      <w:caps/>
      <w:color w:val="44546A" w:themeColor="text2"/>
      <w:spacing w:val="20"/>
      <w:kern w:val="0"/>
      <w:sz w:val="32"/>
      <w:lang w:val="es-ES" w:eastAsia="en-US"/>
      <w14:ligatures w14:val="none"/>
    </w:rPr>
  </w:style>
  <w:style w:type="character" w:customStyle="1" w:styleId="SubtitleChar">
    <w:name w:val="Subtitle Char"/>
    <w:basedOn w:val="DefaultParagraphFont"/>
    <w:link w:val="Subtitle"/>
    <w:uiPriority w:val="2"/>
    <w:rPr>
      <w:caps/>
      <w:color w:val="44546A" w:themeColor="text2"/>
      <w:spacing w:val="20"/>
      <w:kern w:val="0"/>
      <w:sz w:val="32"/>
      <w:lang w:val="es-ES" w:eastAsia="en-US"/>
      <w14:ligatures w14:val="none"/>
    </w:rPr>
  </w:style>
  <w:style w:type="paragraph" w:customStyle="1" w:styleId="EA00C431018B41098F55FA780F7C6CBE">
    <w:name w:val="EA00C431018B41098F55FA780F7C6CBE"/>
  </w:style>
  <w:style w:type="paragraph" w:customStyle="1" w:styleId="E2C491F9A00D47E98F3589E8397904F7">
    <w:name w:val="E2C491F9A00D47E98F3589E8397904F7"/>
  </w:style>
  <w:style w:type="paragraph" w:customStyle="1" w:styleId="54187415001E44B5935265CE1691A5C3">
    <w:name w:val="54187415001E44B5935265CE1691A5C3"/>
  </w:style>
  <w:style w:type="paragraph" w:customStyle="1" w:styleId="E57802EACAA24F16BEE7BB43E0A47A29">
    <w:name w:val="E57802EACAA24F16BEE7BB43E0A47A29"/>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theme/theme1.xml><?xml version="1.0" encoding="utf-8"?>
<a:theme xmlns:a="http://schemas.openxmlformats.org/drawingml/2006/main" name="Custom Theme">
  <a:themeElements>
    <a:clrScheme name="Custom 29">
      <a:dk1>
        <a:srgbClr val="0F0D29"/>
      </a:dk1>
      <a:lt1>
        <a:srgbClr val="FFFFFF"/>
      </a:lt1>
      <a:dk2>
        <a:srgbClr val="082A75"/>
      </a:dk2>
      <a:lt2>
        <a:srgbClr val="E7E6E6"/>
      </a:lt2>
      <a:accent1>
        <a:srgbClr val="024F75"/>
      </a:accent1>
      <a:accent2>
        <a:srgbClr val="3592CF"/>
      </a:accent2>
      <a:accent3>
        <a:srgbClr val="34ABA2"/>
      </a:accent3>
      <a:accent4>
        <a:srgbClr val="66B2CA"/>
      </a:accent4>
      <a:accent5>
        <a:srgbClr val="C1D9CB"/>
      </a:accent5>
      <a:accent6>
        <a:srgbClr val="34ABA2"/>
      </a:accent6>
      <a:hlink>
        <a:srgbClr val="3592CF"/>
      </a:hlink>
      <a:folHlink>
        <a:srgbClr val="3592CF"/>
      </a:folHlink>
    </a:clrScheme>
    <a:fontScheme name="Custom 20">
      <a:majorFont>
        <a:latin typeface="Arial"/>
        <a:ea typeface=""/>
        <a:cs typeface=""/>
      </a:majorFont>
      <a:minorFont>
        <a:latin typeface="Calibri"/>
        <a:ea typeface=""/>
        <a:cs typeface=""/>
      </a:minorFont>
    </a:fontScheme>
    <a:fmtScheme name="Office Effects">
      <a:fillStyleLst>
        <a:solidFill>
          <a:schemeClr val="phClr">
            <a:tint val="100000"/>
            <a:shade val="100000"/>
            <a:satMod val="100000"/>
          </a:schemeClr>
        </a:solidFill>
        <a:gradFill rotWithShape="1">
          <a:gsLst>
            <a:gs pos="0">
              <a:schemeClr val="phClr">
                <a:tint val="65000"/>
                <a:shade val="100000"/>
                <a:satMod val="133000"/>
              </a:schemeClr>
            </a:gs>
            <a:gs pos="15000">
              <a:schemeClr val="phClr">
                <a:tint val="50000"/>
                <a:shade val="100000"/>
                <a:satMod val="140000"/>
              </a:schemeClr>
            </a:gs>
            <a:gs pos="100000">
              <a:schemeClr val="phClr">
                <a:tint val="10000"/>
                <a:shade val="100000"/>
                <a:satMod val="135000"/>
              </a:schemeClr>
            </a:gs>
          </a:gsLst>
          <a:lin ang="16200000" scaled="1"/>
        </a:gradFill>
        <a:gradFill rotWithShape="1">
          <a:gsLst>
            <a:gs pos="0">
              <a:schemeClr val="phClr">
                <a:tint val="100000"/>
                <a:shade val="75000"/>
                <a:satMod val="160000"/>
              </a:schemeClr>
            </a:gs>
            <a:gs pos="62000">
              <a:schemeClr val="phClr">
                <a:tint val="100000"/>
                <a:shade val="100000"/>
                <a:satMod val="125000"/>
              </a:schemeClr>
            </a:gs>
            <a:gs pos="100000">
              <a:schemeClr val="phClr">
                <a:tint val="80000"/>
                <a:shade val="100000"/>
                <a:satMod val="140000"/>
              </a:schemeClr>
            </a:gs>
          </a:gsLst>
          <a:lin ang="16200000" scaled="1"/>
        </a:gradFill>
      </a:fillStyleLst>
      <a:lnStyleLst>
        <a:ln w="12700">
          <a:solidFill>
            <a:schemeClr val="phClr"/>
          </a:solidFill>
          <a:prstDash val="solid"/>
        </a:ln>
        <a:ln w="25400">
          <a:solidFill>
            <a:schemeClr val="phClr"/>
          </a:solidFill>
          <a:prstDash val="solid"/>
        </a:ln>
        <a:ln w="38100">
          <a:solidFill>
            <a:schemeClr val="phClr"/>
          </a:solidFill>
          <a:prstDash val="solid"/>
        </a:ln>
      </a:lnStyleLst>
      <a:effectStyleLst>
        <a:effectStyle>
          <a:effectLst>
            <a:outerShdw blurRad="50800" dist="25400" dir="5400000">
              <a:srgbClr val="000000">
                <a:alpha val="43137"/>
              </a:srgbClr>
            </a:outerShdw>
          </a:effectLst>
        </a:effectStyle>
        <a:effectStyle>
          <a:effectLst>
            <a:outerShdw blurRad="50800" dist="38100" dir="5400000">
              <a:srgbClr val="000000">
                <a:alpha val="61176"/>
              </a:srgbClr>
            </a:outerShdw>
          </a:effectLst>
          <a:scene3d>
            <a:camera prst="orthographicFront" fov="0">
              <a:rot lat="0" lon="0" rev="0"/>
            </a:camera>
            <a:lightRig rig="contrasting" dir="t">
              <a:rot lat="0" lon="0" rev="16500000"/>
            </a:lightRig>
          </a:scene3d>
          <a:sp3d contourW="12700" prstMaterial="powder">
            <a:bevelT h="50800"/>
            <a:contourClr>
              <a:schemeClr val="phClr">
                <a:tint val="100000"/>
                <a:shade val="100000"/>
                <a:satMod val="100000"/>
              </a:schemeClr>
            </a:contourClr>
          </a:sp3d>
        </a:effectStyle>
        <a:effectStyle>
          <a:effectLst>
            <a:reflection blurRad="12700" stA="25000" endPos="28000" dist="38100" dir="5400000" sy="-100000"/>
          </a:effectLst>
          <a:scene3d>
            <a:camera prst="orthographicFront" fov="0">
              <a:rot lat="0" lon="0" rev="0"/>
            </a:camera>
            <a:lightRig rig="threePt" dir="t">
              <a:rot lat="0" lon="0" rev="0"/>
            </a:lightRig>
          </a:scene3d>
          <a:sp3d>
            <a:bevelT w="139700" h="38100"/>
            <a:contourClr>
              <a:schemeClr val="phClr">
                <a:tint val="100000"/>
                <a:shade val="100000"/>
                <a:satMod val="100000"/>
              </a:schemeClr>
            </a:contourClr>
          </a:sp3d>
        </a:effectStyle>
      </a:effectStyleLst>
      <a:bgFillStyleLst>
        <a:solidFill>
          <a:schemeClr val="phClr">
            <a:tint val="100000"/>
            <a:shade val="100000"/>
            <a:satMod val="100000"/>
          </a:schemeClr>
        </a:solidFill>
        <a:gradFill rotWithShape="1">
          <a:gsLst>
            <a:gs pos="0">
              <a:schemeClr val="phClr">
                <a:tint val="100000"/>
                <a:shade val="50000"/>
                <a:satMod val="145000"/>
              </a:schemeClr>
            </a:gs>
            <a:gs pos="40000">
              <a:schemeClr val="phClr">
                <a:tint val="100000"/>
                <a:shade val="70000"/>
                <a:satMod val="145000"/>
              </a:schemeClr>
            </a:gs>
            <a:gs pos="100000">
              <a:schemeClr val="phClr">
                <a:tint val="85000"/>
                <a:shade val="100000"/>
                <a:satMod val="155000"/>
              </a:schemeClr>
            </a:gs>
          </a:gsLst>
          <a:lin ang="16200000" scaled="1"/>
        </a:gradFill>
        <a:gradFill rotWithShape="1">
          <a:gsLst>
            <a:gs pos="0">
              <a:schemeClr val="phClr">
                <a:tint val="100000"/>
                <a:shade val="50000"/>
                <a:satMod val="145000"/>
              </a:schemeClr>
            </a:gs>
            <a:gs pos="30000">
              <a:schemeClr val="phClr">
                <a:tint val="100000"/>
                <a:shade val="65000"/>
                <a:satMod val="155000"/>
              </a:schemeClr>
            </a:gs>
            <a:gs pos="100000">
              <a:schemeClr val="phClr">
                <a:tint val="60000"/>
                <a:shade val="100000"/>
                <a:satMod val="170000"/>
              </a:schemeClr>
            </a:gs>
          </a:gsLst>
          <a:lin ang="16200000" scaled="1"/>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
  <CompanyPhone/>
  <CompanyFax>Patricia Ramirez Cifuentes</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A8C8A4CE-8D3E-48D0-87ED-90BDD8B6747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Informe </Template>
  <TotalTime>104</TotalTime>
  <Pages>5</Pages>
  <Words>1452</Words>
  <Characters>7987</Characters>
  <Application>Microsoft Office Word</Application>
  <DocSecurity>0</DocSecurity>
  <Lines>66</Lines>
  <Paragraphs>18</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
      <vt:lpstr/>
    </vt:vector>
  </TitlesOfParts>
  <Company/>
  <LinksUpToDate>false</LinksUpToDate>
  <CharactersWithSpaces>9421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Lenovo</dc:creator>
  <cp:keywords/>
  <cp:lastModifiedBy>Patricia Ramirez</cp:lastModifiedBy>
  <cp:revision>24</cp:revision>
  <cp:lastPrinted>2006-08-01T17:47:00Z</cp:lastPrinted>
  <dcterms:created xsi:type="dcterms:W3CDTF">2026-04-05T15:59:00Z</dcterms:created>
  <dcterms:modified xsi:type="dcterms:W3CDTF">2026-04-05T21:43:00Z</dcterms:modified>
  <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TemplateID">
    <vt:lpwstr>TC100670409990</vt:lpwstr>
  </property>
</Properties>
</file>