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Ejemplo de Guía Argentina de Citas Legales</w:t>
      </w:r>
    </w:p>
    <w:p>
      <w:pPr>
        <w:pStyle w:val="Subtitle"/>
      </w:pPr>
      <w:r>
        <w:t xml:space="preserve">Texto ejemplificativo (v 2.0)</w:t>
      </w:r>
    </w:p>
    <w:p>
      <w:pPr>
        <w:pStyle w:val="Date"/>
      </w:pPr>
      <w:r>
        <w:t xml:space="preserve">20 de octubre de 2022</w:t>
      </w:r>
    </w:p>
    <w:p>
      <w:pPr>
        <w:pStyle w:val="FirstParagraph"/>
      </w:pPr>
      <w:r>
        <w:t xml:space="preserve">La</w:t>
      </w:r>
      <w:r>
        <w:t xml:space="preserve"> </w:t>
      </w:r>
      <w:r>
        <w:rPr>
          <w:i/>
          <w:iCs/>
        </w:rPr>
        <w:t xml:space="preserve">Guía Argentia de Citas Legales</w:t>
      </w:r>
      <w:r>
        <w:t xml:space="preserve"> </w:t>
      </w:r>
      <w:r>
        <w:t xml:space="preserve">(GACL) es una guía de estilo volcada a lenguaje CSL que permite la automatización del proceso de citas. Fue desarrollado teniendo en cuenta algunos parámetros usuales de la práctica local, y prestando atención a manuales de estilo y guías existentes. La GACL es un modelo de notas al pie y no está pensado (al menos en esta primera versión) para funcionar con bibliografía final o listado de referencias. Este documento sólo muestra cómo funciona la GACL en la práctica.</w:t>
      </w:r>
    </w:p>
    <w:bookmarkStart w:id="31" w:name="Xc05cc2629fb2dc20daabeb3a54508ac4dfc92df"/>
    <w:p>
      <w:pPr>
        <w:pStyle w:val="Heading1"/>
      </w:pPr>
      <w:r>
        <w:t xml:space="preserve">Cita de libros, artículos y otros materiales académicos</w:t>
      </w:r>
    </w:p>
    <w:p>
      <w:pPr>
        <w:pStyle w:val="FirstParagraph"/>
      </w:pPr>
      <w:r>
        <w:t xml:space="preserve">La escritura jurídica académica suele citar libros en inglés</w:t>
      </w:r>
      <w:r>
        <w:rPr>
          <w:rStyle w:val="FootnoteReference"/>
        </w:rPr>
        <w:footnoteReference w:id="20"/>
      </w:r>
      <w:r>
        <w:t xml:space="preserve"> </w:t>
      </w:r>
      <w:r>
        <w:t xml:space="preserve">y en español</w:t>
      </w:r>
      <w:r>
        <w:rPr>
          <w:rStyle w:val="FootnoteReference"/>
        </w:rPr>
        <w:footnoteReference w:id="21"/>
      </w:r>
      <w:r>
        <w:t xml:space="preserve">, pero también cita capítulos de libros,</w:t>
      </w:r>
      <w:r>
        <w:rPr>
          <w:rStyle w:val="FootnoteReference"/>
        </w:rPr>
        <w:footnoteReference w:id="22"/>
      </w:r>
      <w:r>
        <w:t xml:space="preserve"> artículos académicos</w:t>
      </w:r>
      <w:r>
        <w:rPr>
          <w:rStyle w:val="FootnoteReference"/>
        </w:rPr>
        <w:footnoteReference w:id="23"/>
      </w:r>
      <w:r>
        <w:t xml:space="preserve"> </w:t>
      </w:r>
      <w:r>
        <w:t xml:space="preserve">y</w:t>
      </w:r>
      <w:r>
        <w:t xml:space="preserve"> </w:t>
      </w:r>
      <w:r>
        <w:rPr>
          <w:i/>
          <w:iCs/>
        </w:rPr>
        <w:t xml:space="preserve">papers</w:t>
      </w:r>
      <w:r>
        <w:t xml:space="preserve"> </w:t>
      </w:r>
      <w:r>
        <w:t xml:space="preserve">presentados en conferencias,</w:t>
      </w:r>
      <w:r>
        <w:rPr>
          <w:rStyle w:val="FootnoteReference"/>
        </w:rPr>
        <w:footnoteReference w:id="26"/>
      </w:r>
      <w:r>
        <w:t xml:space="preserve"> entre otros. También—seguramente—se citen de manera creciente blogs.</w:t>
      </w:r>
      <w:r>
        <w:rPr>
          <w:rStyle w:val="FootnoteReference"/>
        </w:rPr>
        <w:footnoteReference w:id="27"/>
      </w:r>
      <w:r>
        <w:t xml:space="preserve"> También cita a múltiples autores.</w:t>
      </w:r>
      <w:r>
        <w:rPr>
          <w:rStyle w:val="FootnoteReference"/>
        </w:rPr>
        <w:footnoteReference w:id="29"/>
      </w:r>
    </w:p>
    <w:bookmarkEnd w:id="31"/>
    <w:bookmarkStart w:id="42" w:name="cita-de-leyes-regulaciones-etcétera"/>
    <w:p>
      <w:pPr>
        <w:pStyle w:val="Heading1"/>
      </w:pPr>
      <w:r>
        <w:t xml:space="preserve">Cita de leyes, regulaciones, etcétera</w:t>
      </w:r>
    </w:p>
    <w:p>
      <w:pPr>
        <w:pStyle w:val="FirstParagraph"/>
      </w:pPr>
      <w:r>
        <w:t xml:space="preserve">Tanto la escritura académica como la judicial cita leyes,</w:t>
      </w:r>
      <w:r>
        <w:rPr>
          <w:rStyle w:val="FootnoteReference"/>
        </w:rPr>
        <w:footnoteReference w:id="32"/>
      </w:r>
      <w:r>
        <w:t xml:space="preserve"> decretos</w:t>
      </w:r>
      <w:r>
        <w:rPr>
          <w:rStyle w:val="FootnoteReference"/>
        </w:rPr>
        <w:footnoteReference w:id="34"/>
      </w:r>
      <w:r>
        <w:t xml:space="preserve"> </w:t>
      </w:r>
      <w:r>
        <w:t xml:space="preserve">y otros tipos de normas de menor jerarquía como resoluciones</w:t>
      </w:r>
      <w:r>
        <w:rPr>
          <w:rStyle w:val="FootnoteReference"/>
        </w:rPr>
        <w:footnoteReference w:id="35"/>
      </w:r>
      <w:r>
        <w:t xml:space="preserve"> </w:t>
      </w:r>
      <w:r>
        <w:t xml:space="preserve">y ordenanzas</w:t>
      </w:r>
      <w:r>
        <w:rPr>
          <w:rStyle w:val="FootnoteReference"/>
        </w:rPr>
        <w:footnoteReference w:id="37"/>
      </w:r>
      <w:r>
        <w:t xml:space="preserve">. También citamos proyectos de leyes</w:t>
      </w:r>
      <w:r>
        <w:rPr>
          <w:rStyle w:val="FootnoteReference"/>
        </w:rPr>
        <w:footnoteReference w:id="39"/>
      </w:r>
      <w:r>
        <w:t xml:space="preserve"> </w:t>
      </w:r>
      <w:r>
        <w:t xml:space="preserve">y versiones taquigráficas de sesiones legislativas.</w:t>
      </w:r>
      <w:r>
        <w:rPr>
          <w:rStyle w:val="FootnoteReference"/>
        </w:rPr>
        <w:footnoteReference w:id="41"/>
      </w:r>
    </w:p>
    <w:bookmarkEnd w:id="42"/>
    <w:bookmarkStart w:id="62" w:name="cita-de-casos-judiciales"/>
    <w:p>
      <w:pPr>
        <w:pStyle w:val="Heading1"/>
      </w:pPr>
      <w:r>
        <w:t xml:space="preserve">Cita de casos judiciales</w:t>
      </w:r>
    </w:p>
    <w:p>
      <w:pPr>
        <w:pStyle w:val="FirstParagraph"/>
      </w:pPr>
      <w:r>
        <w:t xml:space="preserve">Quizás lo más desafiante sea establecer cómo citamos casos judiciales, porque citamos casos diversos, de diversos tribunales, diversas jurisdicciones. Así, por ejemplo, los constitucionalistas solemos citar fallos de la Corte Suprema que están publicados en la colección de</w:t>
      </w:r>
      <w:r>
        <w:t xml:space="preserve"> </w:t>
      </w:r>
      <w:r>
        <w:rPr>
          <w:i/>
          <w:iCs/>
        </w:rPr>
        <w:t xml:space="preserve">Fallos</w:t>
      </w:r>
      <w:r>
        <w:t xml:space="preserve"> </w:t>
      </w:r>
      <w:r>
        <w:rPr>
          <w:rStyle w:val="FootnoteReference"/>
        </w:rPr>
        <w:footnoteReference w:id="43"/>
      </w:r>
      <w:r>
        <w:t xml:space="preserve"> </w:t>
      </w:r>
      <w:r>
        <w:t xml:space="preserve">pero también casos que aún no están citados en esa colección</w:t>
      </w:r>
      <w:r>
        <w:rPr>
          <w:rStyle w:val="FootnoteReference"/>
        </w:rPr>
        <w:footnoteReference w:id="44"/>
      </w:r>
      <w:r>
        <w:t xml:space="preserve"> </w:t>
      </w:r>
      <w:r>
        <w:t xml:space="preserve">o casos que se publican en el CIJ.</w:t>
      </w:r>
      <w:r>
        <w:rPr>
          <w:rStyle w:val="FootnoteReference"/>
        </w:rPr>
        <w:footnoteReference w:id="45"/>
      </w:r>
      <w:r>
        <w:t xml:space="preserve"> También citamos casos de tribunales inferiores, que están citados en revistas,</w:t>
      </w:r>
      <w:r>
        <w:rPr>
          <w:rStyle w:val="FootnoteReference"/>
        </w:rPr>
        <w:footnoteReference w:id="47"/>
      </w:r>
      <w:r>
        <w:t xml:space="preserve"> en suplementos,</w:t>
      </w:r>
      <w:r>
        <w:rPr>
          <w:rStyle w:val="FootnoteReference"/>
        </w:rPr>
        <w:footnoteReference w:id="48"/>
      </w:r>
      <w:r>
        <w:t xml:space="preserve"> en sitios como el SAIJ</w:t>
      </w:r>
      <w:r>
        <w:rPr>
          <w:rStyle w:val="FootnoteReference"/>
        </w:rPr>
        <w:footnoteReference w:id="49"/>
      </w:r>
      <w:r>
        <w:t xml:space="preserve"> </w:t>
      </w:r>
      <w:r>
        <w:t xml:space="preserve">o El Dial,</w:t>
      </w:r>
      <w:r>
        <w:rPr>
          <w:rStyle w:val="FootnoteReference"/>
        </w:rPr>
        <w:footnoteReference w:id="51"/>
      </w:r>
      <w:r>
        <w:t xml:space="preserve"> o que no están publicados en ningún lugar en particular.</w:t>
      </w:r>
      <w:r>
        <w:rPr>
          <w:rStyle w:val="FootnoteReference"/>
        </w:rPr>
        <w:footnoteReference w:id="53"/>
      </w:r>
    </w:p>
    <w:p>
      <w:pPr>
        <w:pStyle w:val="BodyText"/>
      </w:pPr>
      <w:r>
        <w:t xml:space="preserve">También citamos casos de otros jurisdicciones, tanto provinciales, de otros países, o de sistemas de derecho internacional. Para los órganos internacionales no se indica la jurisdicción porque ella resulta obvia, p.ej., en la Corte IDH,</w:t>
      </w:r>
      <w:r>
        <w:rPr>
          <w:rStyle w:val="FootnoteReference"/>
        </w:rPr>
        <w:footnoteReference w:id="55"/>
      </w:r>
      <w:r>
        <w:t xml:space="preserve"> en relación a casos individuales de la CIDH,</w:t>
      </w:r>
      <w:r>
        <w:rPr>
          <w:rStyle w:val="FootnoteReference"/>
        </w:rPr>
        <w:footnoteReference w:id="56"/>
      </w:r>
      <w:r>
        <w:t xml:space="preserve"> o para el Tribunal Europeo de DDHH.</w:t>
      </w:r>
      <w:r>
        <w:rPr>
          <w:rStyle w:val="FootnoteReference"/>
        </w:rPr>
        <w:footnoteReference w:id="57"/>
      </w:r>
      <w:r>
        <w:t xml:space="preserve"> En el caso de fallos de provincias y de otros países, la jurisdicción va</w:t>
      </w:r>
      <w:r>
        <w:t xml:space="preserve"> </w:t>
      </w:r>
      <w:r>
        <w:t xml:space="preserve">“entre paréntesis.</w:t>
      </w:r>
      <w:r>
        <w:rPr>
          <w:rStyle w:val="FootnoteReference"/>
        </w:rPr>
        <w:footnoteReference w:id="59"/>
      </w:r>
      <w:r>
        <w:t xml:space="preserve"> Los tratados internacionales no requieren citas especiales, pero otros documentos internacionales, como las”</w:t>
      </w:r>
      <w:r>
        <w:t xml:space="preserve">Observaciones Generales” de los Comité de ONU, sí.</w:t>
      </w:r>
      <w:r>
        <w:rPr>
          <w:rStyle w:val="FootnoteReference"/>
        </w:rPr>
        <w:footnoteReference w:id="61"/>
      </w:r>
    </w:p>
    <w:p>
      <w:pPr>
        <w:pStyle w:val="BodyText"/>
      </w:pPr>
      <w:r>
        <w:t xml:space="preserve">Una nota sobre las fechas: se optó por seguir el modelo de la fecha para legislaciones de la RATJ porque facilita la lectura a quienes están acostumbrados a la fecha numérica en el mundo anglosajon (mes/día/año) y porque es más versátil, ya que permite poner</w:t>
      </w:r>
      <w:r>
        <w:t xml:space="preserve"> </w:t>
      </w:r>
      <w:r>
        <w:t xml:space="preserve">“entre paréntesis”</w:t>
      </w:r>
      <w:r>
        <w:t xml:space="preserve"> </w:t>
      </w:r>
      <w:r>
        <w:t xml:space="preserve">a una fecha completa o una incompleta (dónde, p.ej., sólo tenemos el año). En los fallos judiciales, muchas veces el año alcanza (p.ej, en casos viejos) pero en muchos casos la fecha exacta de la decisión es útil (p.ej., cuando se trata de casos más recientes o estamos analizando un período histórico corto). En cualquier caso, la opción de fechas entre paréntesis parece adaptarse más fácilmente a esta peculiaridad que ocurre con los fallos y no con otros materiales.</w:t>
      </w:r>
    </w:p>
    <w:bookmarkEnd w:id="62"/>
    <w:bookmarkStart w:id="68" w:name="cita-de-reportes-técnicos"/>
    <w:p>
      <w:pPr>
        <w:pStyle w:val="Heading1"/>
      </w:pPr>
      <w:r>
        <w:t xml:space="preserve">Cita de</w:t>
      </w:r>
      <w:r>
        <w:t xml:space="preserve"> </w:t>
      </w:r>
      <w:r>
        <w:t xml:space="preserve">“reportes técnicos”</w:t>
      </w:r>
    </w:p>
    <w:p>
      <w:pPr>
        <w:pStyle w:val="FirstParagraph"/>
      </w:pPr>
      <w:r>
        <w:t xml:space="preserve">Es usual citar reportes técnicos, p.ej. informes temáticos de la CIDH</w:t>
      </w:r>
      <w:r>
        <w:rPr>
          <w:rStyle w:val="FootnoteReference"/>
        </w:rPr>
        <w:footnoteReference w:id="63"/>
      </w:r>
      <w:r>
        <w:t xml:space="preserve"> </w:t>
      </w:r>
      <w:r>
        <w:t xml:space="preserve">o de ONGs</w:t>
      </w:r>
      <w:r>
        <w:rPr>
          <w:rStyle w:val="FootnoteReference"/>
        </w:rPr>
        <w:footnoteReference w:id="64"/>
      </w:r>
      <w:r>
        <w:t xml:space="preserve"> </w:t>
      </w:r>
      <w:r>
        <w:t xml:space="preserve">o de la OCDE,</w:t>
      </w:r>
      <w:r>
        <w:rPr>
          <w:rStyle w:val="FootnoteReference"/>
        </w:rPr>
        <w:footnoteReference w:id="65"/>
      </w:r>
      <w:r>
        <w:t xml:space="preserve"> etcétera. Aquí las fechas pueden ser—también—parciales y se optó por el modelo de</w:t>
      </w:r>
      <w:r>
        <w:t xml:space="preserve"> </w:t>
      </w:r>
      <w:r>
        <w:t xml:space="preserve">“fecha completa”</w:t>
      </w:r>
      <w:r>
        <w:t xml:space="preserve"> </w:t>
      </w:r>
      <w:r>
        <w:t xml:space="preserve">porque así lo hacen otros estilos.</w:t>
      </w:r>
      <w:r>
        <w:rPr>
          <w:rStyle w:val="FootnoteReference"/>
        </w:rPr>
        <w:footnoteReference w:id="66"/>
      </w:r>
    </w:p>
    <w:bookmarkEnd w:id="68"/>
    <w:bookmarkStart w:id="78" w:name="citas-subsiguientes"/>
    <w:p>
      <w:pPr>
        <w:pStyle w:val="Heading1"/>
      </w:pPr>
      <w:r>
        <w:t xml:space="preserve">Citas subsiguientes</w:t>
      </w:r>
    </w:p>
    <w:p>
      <w:pPr>
        <w:pStyle w:val="FirstParagraph"/>
      </w:pPr>
      <w:r>
        <w:t xml:space="preserve">Por supuesto, estas citas no ocurren sólo una vez sino que suelen repetirse en el texto. El GACL opta por seguir el modelo de citas</w:t>
      </w:r>
      <w:r>
        <w:t xml:space="preserve"> </w:t>
      </w:r>
      <w:r>
        <w:t xml:space="preserve">“en línea”</w:t>
      </w:r>
      <w:r>
        <w:t xml:space="preserve"> </w:t>
      </w:r>
      <w:r>
        <w:t xml:space="preserve">y sin bibliografía al final, por lo que la cita completa va la primera vez que se cita y las citas subsiguientes son más cortas. Así, por ejemplo, podríamos citar al libro de Morgan citado en la nota número uno</w:t>
      </w:r>
      <w:r>
        <w:rPr>
          <w:rStyle w:val="FootnoteReference"/>
        </w:rPr>
        <w:footnoteReference w:id="69"/>
      </w:r>
      <w:r>
        <w:t xml:space="preserve"> </w:t>
      </w:r>
      <w:r>
        <w:t xml:space="preserve">y lo podríamos citar de nuevo.</w:t>
      </w:r>
      <w:r>
        <w:rPr>
          <w:rStyle w:val="FootnoteReference"/>
        </w:rPr>
        <w:footnoteReference w:id="70"/>
      </w:r>
      <w:r>
        <w:t xml:space="preserve"> Lo mismo ocurre con el caso</w:t>
      </w:r>
      <w:r>
        <w:t xml:space="preserve"> </w:t>
      </w:r>
      <w:r>
        <w:rPr>
          <w:i/>
          <w:iCs/>
        </w:rPr>
        <w:t xml:space="preserve">Siri</w:t>
      </w:r>
      <w:r>
        <w:rPr>
          <w:rStyle w:val="FootnoteReference"/>
        </w:rPr>
        <w:footnoteReference w:id="71"/>
      </w:r>
      <w:r>
        <w:t xml:space="preserve"> </w:t>
      </w:r>
      <w:r>
        <w:t xml:space="preserve">o con el caso</w:t>
      </w:r>
      <w:r>
        <w:t xml:space="preserve"> </w:t>
      </w:r>
      <w:r>
        <w:rPr>
          <w:i/>
          <w:iCs/>
        </w:rPr>
        <w:t xml:space="preserve">Batalla</w:t>
      </w:r>
      <w:r>
        <w:t xml:space="preserve">.</w:t>
      </w:r>
      <w:r>
        <w:rPr>
          <w:rStyle w:val="FootnoteReference"/>
        </w:rPr>
        <w:footnoteReference w:id="72"/>
      </w:r>
      <w:r>
        <w:t xml:space="preserve"> El GACL también permite citar párrafos,</w:t>
      </w:r>
      <w:r>
        <w:rPr>
          <w:rStyle w:val="FootnoteReference"/>
        </w:rPr>
        <w:footnoteReference w:id="73"/>
      </w:r>
      <w:r>
        <w:t xml:space="preserve"> consideranos</w:t>
      </w:r>
      <w:r>
        <w:rPr>
          <w:rStyle w:val="FootnoteReference"/>
        </w:rPr>
        <w:footnoteReference w:id="74"/>
      </w:r>
      <w:r>
        <w:t xml:space="preserve"> </w:t>
      </w:r>
      <w:r>
        <w:t xml:space="preserve">y—más regularmente—páginas específicas</w:t>
      </w:r>
      <w:r>
        <w:rPr>
          <w:rStyle w:val="FootnoteReference"/>
        </w:rPr>
        <w:footnoteReference w:id="75"/>
      </w:r>
      <w:r>
        <w:t xml:space="preserve"> </w:t>
      </w:r>
      <w:r>
        <w:t xml:space="preserve">o conjuntos de páginas.</w:t>
      </w:r>
      <w:r>
        <w:rPr>
          <w:rStyle w:val="FootnoteReference"/>
        </w:rPr>
        <w:footnoteReference w:id="76"/>
      </w:r>
      <w:r>
        <w:t xml:space="preserve"> También reduce los autores en segunda cita.</w:t>
      </w:r>
      <w:r>
        <w:rPr>
          <w:rStyle w:val="FootnoteReference"/>
        </w:rPr>
        <w:footnoteReference w:id="77"/>
      </w:r>
    </w:p>
    <w:bookmarkEnd w:id="78"/>
    <w:sectPr w:rsidR="00F002A3" w:rsidSect="000B451A">
      <w:headerReference r:id="rId10" w:type="even"/>
      <w:headerReference r:id="rId9" w:type="default"/>
      <w:footerReference r:id="rId13" w:type="even"/>
      <w:footerReference r:id="rId12" w:type="default"/>
      <w:headerReference r:id="rId11" w:type="first"/>
      <w:footerReference r:id="rId14" w:type="first"/>
      <w:pgSz w:h="15840" w:w="12240"/>
      <w:pgMar w:bottom="1417" w:footer="708"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haletBook">
    <w:altName w:val="Calibri"/>
    <w:panose1 w:val="020B0604020202020204"/>
    <w:charset w:val="00"/>
    <w:family w:val="modern"/>
    <w:notTrueType/>
    <w:pitch w:val="variable"/>
    <w:sig w:usb0="800000AF" w:usb1="5000205A"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4B1B" w:rsidRDefault="00E357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30702"/>
      <w:docPartObj>
        <w:docPartGallery w:val="Page Numbers (Bottom of Page)"/>
        <w:docPartUnique/>
      </w:docPartObj>
    </w:sdtPr>
    <w:sdtEndPr/>
    <w:sdtContent>
      <w:p w:rsidR="00CB4B1B" w:rsidRDefault="00E357E2">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CB4B1B" w:rsidRDefault="00E357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4B1B" w:rsidRDefault="00E357E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rPr>
          <w:smallCaps/>
        </w:rPr>
        <w:t xml:space="preserve">E. S. Morgan</w:t>
      </w:r>
      <w:r>
        <w:t xml:space="preserve">,</w:t>
      </w:r>
      <w:r>
        <w:t xml:space="preserve"> </w:t>
      </w:r>
      <w:r>
        <w:rPr>
          <w:i/>
          <w:iCs/>
        </w:rPr>
        <w:t xml:space="preserve">Inventing the People: The Rise of Popular Sovereignty in England and America</w:t>
      </w:r>
      <w:r>
        <w:t xml:space="preserve">, Reprint edition, W. W. Norton &amp; Company, New York, 1988, pág. 55.</w:t>
      </w:r>
    </w:p>
  </w:footnote>
  <w:footnote w:id="21">
    <w:p>
      <w:pPr>
        <w:pStyle w:val="FootnoteText"/>
      </w:pPr>
      <w:r>
        <w:rPr>
          <w:rStyle w:val="FootnoteReference"/>
        </w:rPr>
        <w:footnoteRef/>
      </w:r>
      <w:r>
        <w:t xml:space="preserve"> </w:t>
      </w:r>
      <w:r>
        <w:rPr>
          <w:smallCaps/>
        </w:rPr>
        <w:t xml:space="preserve">P. Rosanvallon</w:t>
      </w:r>
      <w:r>
        <w:t xml:space="preserve">,</w:t>
      </w:r>
      <w:r>
        <w:t xml:space="preserve"> </w:t>
      </w:r>
      <w:r>
        <w:rPr>
          <w:i/>
          <w:iCs/>
        </w:rPr>
        <w:t xml:space="preserve">El pueblo inalcanzable. Historia de la representación democrática en Francia</w:t>
      </w:r>
      <w:r>
        <w:t xml:space="preserve">, 1st. edition, Instituto de Invesgitaciones Dr. José María Luis Mora, México, 2004.</w:t>
      </w:r>
    </w:p>
  </w:footnote>
  <w:footnote w:id="22">
    <w:p>
      <w:pPr>
        <w:pStyle w:val="FootnoteText"/>
      </w:pPr>
      <w:r>
        <w:rPr>
          <w:rStyle w:val="FootnoteReference"/>
        </w:rPr>
        <w:footnoteRef/>
      </w:r>
      <w:r>
        <w:t xml:space="preserve"> </w:t>
      </w:r>
      <w:r>
        <w:rPr>
          <w:smallCaps/>
        </w:rPr>
        <w:t xml:space="preserve">P. Bergallo</w:t>
      </w:r>
      <w:r>
        <w:t xml:space="preserve">,</w:t>
      </w:r>
      <w:r>
        <w:t xml:space="preserve"> </w:t>
      </w:r>
      <w:r>
        <w:t xml:space="preserve">«Cambio Constitucional, Reproduccion y Derechos»</w:t>
      </w:r>
      <w:r>
        <w:t xml:space="preserve">, en Roberto Gargarella (ed.)</w:t>
      </w:r>
      <w:r>
        <w:t xml:space="preserve"> </w:t>
      </w:r>
      <w:r>
        <w:rPr>
          <w:i/>
          <w:iCs/>
        </w:rPr>
        <w:t xml:space="preserve">La Constitución en 2020: 48 propuestas para una sociedad igualitaria</w:t>
      </w:r>
      <w:r>
        <w:t xml:space="preserve">, Siglo XXI, Buenos Aires, 2011, pág. 64;</w:t>
      </w:r>
      <w:r>
        <w:t xml:space="preserve"> </w:t>
      </w:r>
      <w:r>
        <w:rPr>
          <w:smallCaps/>
        </w:rPr>
        <w:t xml:space="preserve">J. Waldron</w:t>
      </w:r>
      <w:r>
        <w:t xml:space="preserve">,</w:t>
      </w:r>
      <w:r>
        <w:t xml:space="preserve"> </w:t>
      </w:r>
      <w:r>
        <w:t xml:space="preserve">«Constitutionalism: A Skeptical View»</w:t>
      </w:r>
      <w:r>
        <w:t xml:space="preserve">, en Thomas Christiano, John Philip Christman (eds.)</w:t>
      </w:r>
      <w:r>
        <w:t xml:space="preserve"> </w:t>
      </w:r>
      <w:r>
        <w:rPr>
          <w:i/>
          <w:iCs/>
        </w:rPr>
        <w:t xml:space="preserve">Contemporary debates in political philosophy</w:t>
      </w:r>
      <w:r>
        <w:t xml:space="preserve">, Wiley-Blackwell, Malden, MA, 2009, (Contemporary debates in philosophy), pág. 55.</w:t>
      </w:r>
    </w:p>
  </w:footnote>
  <w:footnote w:id="23">
    <w:p>
      <w:pPr>
        <w:pStyle w:val="FootnoteText"/>
      </w:pPr>
      <w:r>
        <w:rPr>
          <w:rStyle w:val="FootnoteReference"/>
        </w:rPr>
        <w:footnoteRef/>
      </w:r>
      <w:r>
        <w:t xml:space="preserve"> </w:t>
      </w:r>
      <w:r>
        <w:t xml:space="preserve">L. H. H. Lüchmann,</w:t>
      </w:r>
      <w:r>
        <w:t xml:space="preserve"> </w:t>
      </w:r>
      <w:r>
        <w:t xml:space="preserve">«Representation within participative experiences»</w:t>
      </w:r>
      <w:r>
        <w:t xml:space="preserve">,</w:t>
      </w:r>
      <w:r>
        <w:t xml:space="preserve"> </w:t>
      </w:r>
      <w:r>
        <w:rPr>
          <w:smallCaps/>
        </w:rPr>
        <w:t xml:space="preserve">Lua Nova: Revista de Cultura e Política</w:t>
      </w:r>
      <w:r>
        <w:t xml:space="preserve">, No. 70 (139-170), 2007, Disponible en</w:t>
      </w:r>
      <w:r>
        <w:t xml:space="preserve"> </w:t>
      </w:r>
      <w:hyperlink r:id="rId24">
        <w:r>
          <w:rPr>
            <w:rStyle w:val="Hyperlink"/>
          </w:rPr>
          <w:t xml:space="preserve">http://www.scielo.br/scielo.php?script=sci_abstract&amp;pid=S0102-64452007000100007&amp;lng=en&amp;nrm=iso&amp;tlng=pt</w:t>
        </w:r>
      </w:hyperlink>
      <w:r>
        <w:t xml:space="preserve">; R. Post,</w:t>
      </w:r>
      <w:r>
        <w:t xml:space="preserve"> </w:t>
      </w:r>
      <w:r>
        <w:t xml:space="preserve">«Theorizing disagreement: Reconceiving the relationship between law and politics»</w:t>
      </w:r>
      <w:r>
        <w:t xml:space="preserve">,</w:t>
      </w:r>
      <w:r>
        <w:t xml:space="preserve"> </w:t>
      </w:r>
      <w:r>
        <w:rPr>
          <w:smallCaps/>
        </w:rPr>
        <w:t xml:space="preserve">California Law Review</w:t>
      </w:r>
      <w:r>
        <w:t xml:space="preserve">, vol. 98, No. 4 (1319-1350), 2010, pág. 1343, Disponible en</w:t>
      </w:r>
      <w:r>
        <w:t xml:space="preserve"> </w:t>
      </w:r>
      <w:hyperlink r:id="rId25">
        <w:r>
          <w:rPr>
            <w:rStyle w:val="Hyperlink"/>
          </w:rPr>
          <w:t xml:space="preserve">http://www.jstor.org/stable/27896713</w:t>
        </w:r>
      </w:hyperlink>
      <w:r>
        <w:t xml:space="preserve">.</w:t>
      </w:r>
    </w:p>
  </w:footnote>
  <w:footnote w:id="26">
    <w:p>
      <w:pPr>
        <w:pStyle w:val="FootnoteText"/>
      </w:pPr>
      <w:r>
        <w:rPr>
          <w:rStyle w:val="FootnoteReference"/>
        </w:rPr>
        <w:footnoteRef/>
      </w:r>
      <w:r>
        <w:t xml:space="preserve"> </w:t>
      </w:r>
      <w:r>
        <w:t xml:space="preserve">R. Siegel,</w:t>
      </w:r>
      <w:r>
        <w:t xml:space="preserve"> </w:t>
      </w:r>
      <w:r>
        <w:t xml:space="preserve">«The Jurisgenerative Role of Social Movements in US constitutional law»</w:t>
      </w:r>
      <w:r>
        <w:t xml:space="preserve">, Seminario en Latinoamérica de Teoria Constitucional y Politica, Oaxaca, Mexico, 7 de Julio de 2004.</w:t>
      </w:r>
    </w:p>
  </w:footnote>
  <w:footnote w:id="27">
    <w:p>
      <w:pPr>
        <w:pStyle w:val="FootnoteText"/>
      </w:pPr>
      <w:r>
        <w:rPr>
          <w:rStyle w:val="FootnoteReference"/>
        </w:rPr>
        <w:footnoteRef/>
      </w:r>
      <w:r>
        <w:t xml:space="preserve"> </w:t>
      </w:r>
      <w:r>
        <w:t xml:space="preserve">R. Álvarez Ugarte,</w:t>
      </w:r>
      <w:r>
        <w:t xml:space="preserve"> </w:t>
      </w:r>
      <w:r>
        <w:rPr>
          <w:i/>
          <w:iCs/>
        </w:rPr>
        <w:t xml:space="preserve">Pandemia, clases y zoom</w:t>
      </w:r>
      <w:r>
        <w:t xml:space="preserve">,</w:t>
      </w:r>
      <w:r>
        <w:t xml:space="preserve"> </w:t>
      </w:r>
      <w:r>
        <w:rPr>
          <w:smallCaps/>
        </w:rPr>
        <w:t xml:space="preserve">Blog personal</w:t>
      </w:r>
      <w:r>
        <w:t xml:space="preserve">, 09/04/2020, disponible en</w:t>
      </w:r>
      <w:r>
        <w:t xml:space="preserve"> </w:t>
      </w:r>
      <w:hyperlink r:id="rId28">
        <w:r>
          <w:rPr>
            <w:rStyle w:val="Hyperlink"/>
          </w:rPr>
          <w:t xml:space="preserve">https://ramiroau.github.io/blog/pandemia/.</w:t>
        </w:r>
        <w:r>
          <w:rPr>
            <w:rStyle w:val="Hyperlink"/>
          </w:rPr>
          <w:t xml:space="preserve"> </w:t>
        </w:r>
      </w:hyperlink>
      <w:r>
        <w:t xml:space="preserve">Fecha de consulta: 10/05/2020.</w:t>
      </w:r>
    </w:p>
  </w:footnote>
  <w:footnote w:id="29">
    <w:p>
      <w:pPr>
        <w:pStyle w:val="FootnoteText"/>
      </w:pPr>
      <w:r>
        <w:rPr>
          <w:rStyle w:val="FootnoteReference"/>
        </w:rPr>
        <w:footnoteRef/>
      </w:r>
      <w:r>
        <w:t xml:space="preserve"> </w:t>
      </w:r>
      <w:r>
        <w:t xml:space="preserve">D. M. J. Lazer y otros,</w:t>
      </w:r>
      <w:r>
        <w:t xml:space="preserve"> </w:t>
      </w:r>
      <w:r>
        <w:t xml:space="preserve">«The science of fake news»</w:t>
      </w:r>
      <w:r>
        <w:t xml:space="preserve">,</w:t>
      </w:r>
      <w:r>
        <w:t xml:space="preserve"> </w:t>
      </w:r>
      <w:r>
        <w:rPr>
          <w:smallCaps/>
        </w:rPr>
        <w:t xml:space="preserve">Science</w:t>
      </w:r>
      <w:r>
        <w:t xml:space="preserve">, vol. 359, No. 6380 (1094-1096), 2018, Disponible en</w:t>
      </w:r>
      <w:r>
        <w:t xml:space="preserve"> </w:t>
      </w:r>
      <w:hyperlink r:id="rId30">
        <w:r>
          <w:rPr>
            <w:rStyle w:val="Hyperlink"/>
          </w:rPr>
          <w:t xml:space="preserve">http://www.sciencemag.org/lookup/doi/10.1126/science.aao2998</w:t>
        </w:r>
      </w:hyperlink>
      <w:r>
        <w:t xml:space="preserve">.</w:t>
      </w:r>
    </w:p>
  </w:footnote>
  <w:footnote w:id="32">
    <w:p>
      <w:pPr>
        <w:pStyle w:val="FootnoteText"/>
      </w:pPr>
      <w:r>
        <w:rPr>
          <w:rStyle w:val="FootnoteReference"/>
        </w:rPr>
        <w:footnoteRef/>
      </w:r>
      <w:r>
        <w:t xml:space="preserve"> </w:t>
      </w:r>
      <w:r>
        <w:t xml:space="preserve">Ley 25.673. Creación del Programa Nacional de Salud Sexual y Procreación Responsable, Nov. 22, 2002, B.O. No. 30.032, Ley nacional de atención y cuidado integral de la salud durante el embarazo y la primera infancia, Dic. 30, 2020, B.O. No. 34.562. Disponible en:</w:t>
      </w:r>
      <w:r>
        <w:t xml:space="preserve"> </w:t>
      </w:r>
      <w:hyperlink r:id="rId33">
        <w:r>
          <w:rPr>
            <w:rStyle w:val="Hyperlink"/>
          </w:rPr>
          <w:t xml:space="preserve">https://www.boletinoficial.gob.ar/detalleAviso/primera/239807/20210115</w:t>
        </w:r>
      </w:hyperlink>
      <w:r>
        <w:t xml:space="preserve">.</w:t>
      </w:r>
    </w:p>
  </w:footnote>
  <w:footnote w:id="34">
    <w:p>
      <w:pPr>
        <w:pStyle w:val="FootnoteText"/>
      </w:pPr>
      <w:r>
        <w:rPr>
          <w:rStyle w:val="FootnoteReference"/>
        </w:rPr>
        <w:footnoteRef/>
      </w:r>
      <w:r>
        <w:t xml:space="preserve"> </w:t>
      </w:r>
      <w:r>
        <w:t xml:space="preserve">Decreto 376/2020, Abr. 19, 2020, BO No. ---.</w:t>
      </w:r>
    </w:p>
  </w:footnote>
  <w:footnote w:id="35">
    <w:p>
      <w:pPr>
        <w:pStyle w:val="FootnoteText"/>
      </w:pPr>
      <w:r>
        <w:rPr>
          <w:rStyle w:val="FootnoteReference"/>
        </w:rPr>
        <w:footnoteRef/>
      </w:r>
      <w:r>
        <w:t xml:space="preserve"> </w:t>
      </w:r>
      <w:r>
        <w:t xml:space="preserve">Resolución 1054/2020, Jun. 19, 2020 (Ministerio de Salud). Disponible en:</w:t>
      </w:r>
      <w:r>
        <w:t xml:space="preserve"> </w:t>
      </w:r>
      <w:hyperlink r:id="rId36">
        <w:r>
          <w:rPr>
            <w:rStyle w:val="Hyperlink"/>
          </w:rPr>
          <w:t xml:space="preserve">http://servicios.infoleg.gob.ar/infolegInternet/verNorma.do;jsessionid=49E37248395838D0BB7E2DF255C5EC11?id=338960</w:t>
        </w:r>
      </w:hyperlink>
      <w:r>
        <w:t xml:space="preserve">.</w:t>
      </w:r>
    </w:p>
  </w:footnote>
  <w:footnote w:id="37">
    <w:p>
      <w:pPr>
        <w:pStyle w:val="FootnoteText"/>
      </w:pPr>
      <w:r>
        <w:rPr>
          <w:rStyle w:val="FootnoteReference"/>
        </w:rPr>
        <w:footnoteRef/>
      </w:r>
      <w:r>
        <w:t xml:space="preserve"> </w:t>
      </w:r>
      <w:r>
        <w:t xml:space="preserve">Ordenanza No. 7227. Autoriza al D.E. renovar Comodato de Uso inmueble situado en calle Vélez Sarsfield N</w:t>
      </w:r>
      <w:r>
        <w:rPr>
          <w:vertAlign w:val="superscript"/>
        </w:rPr>
        <w:t xml:space="preserve">o</w:t>
      </w:r>
      <w:r>
        <w:t xml:space="preserve"> </w:t>
      </w:r>
      <w:r>
        <w:t xml:space="preserve">480, Mar. 14, 2019, B.O. Disponible en:</w:t>
      </w:r>
      <w:r>
        <w:t xml:space="preserve"> </w:t>
      </w:r>
      <w:hyperlink r:id="rId38">
        <w:r>
          <w:rPr>
            <w:rStyle w:val="Hyperlink"/>
          </w:rPr>
          <w:t xml:space="preserve">https://www.tresarroyos.gov.ar/recursos/boletin_oficial/ordenanzas/2019/2019-O-7227.pdf</w:t>
        </w:r>
      </w:hyperlink>
      <w:r>
        <w:t xml:space="preserve">.</w:t>
      </w:r>
    </w:p>
  </w:footnote>
  <w:footnote w:id="39">
    <w:p>
      <w:pPr>
        <w:pStyle w:val="FootnoteText"/>
      </w:pPr>
      <w:r>
        <w:rPr>
          <w:rStyle w:val="FootnoteReference"/>
        </w:rPr>
        <w:footnoteRef/>
      </w:r>
      <w:r>
        <w:t xml:space="preserve"> </w:t>
      </w:r>
      <w:r>
        <w:t xml:space="preserve">Honorable Cámara de Diputados de la Nación, Proyecto 5449-D-2019, Codigo Aduanero, Ley 22415. Derogacion Del Articulo 755, Sobre Derechos De Exportacion (G. Carrio, Elisa), Dic. 11, 2019; CSe, Proyecto 3878-S-2015, Modificaciones respecto del reglamento interno de funcionamiento y organizacion del consejo de seguridad interior (F. Solanas; R. Giustiniani; G. Morales), Nov. 18, 2015. Disponible en</w:t>
      </w:r>
      <w:r>
        <w:t xml:space="preserve"> </w:t>
      </w:r>
      <w:hyperlink r:id="rId40">
        <w:r>
          <w:rPr>
            <w:rStyle w:val="Hyperlink"/>
          </w:rPr>
          <w:t xml:space="preserve">http://www.senado.gov.ar/parlamentario/comisiones/verExp/3878.15/S/PL</w:t>
        </w:r>
      </w:hyperlink>
      <w:r>
        <w:t xml:space="preserve">.</w:t>
      </w:r>
    </w:p>
  </w:footnote>
  <w:footnote w:id="41">
    <w:p>
      <w:pPr>
        <w:pStyle w:val="FootnoteText"/>
      </w:pPr>
      <w:r>
        <w:rPr>
          <w:rStyle w:val="FootnoteReference"/>
        </w:rPr>
        <w:footnoteRef/>
      </w:r>
      <w:r>
        <w:t xml:space="preserve"> </w:t>
      </w:r>
      <w:r>
        <w:rPr>
          <w:smallCaps/>
        </w:rPr>
        <w:t xml:space="preserve">Senado de la Nación</w:t>
      </w:r>
      <w:r>
        <w:t xml:space="preserve">,</w:t>
      </w:r>
      <w:r>
        <w:t xml:space="preserve"> </w:t>
      </w:r>
      <w:r>
        <w:rPr>
          <w:i/>
          <w:iCs/>
        </w:rPr>
        <w:t xml:space="preserve">«Diario de Sesiones del Senado de la Nación. 10a Reunión, 5a Sesión Especial del Período 136»</w:t>
      </w:r>
      <w:r>
        <w:t xml:space="preserve">,</w:t>
      </w:r>
      <w:r>
        <w:rPr>
          <w:smallCaps/>
        </w:rPr>
        <w:t xml:space="preserve"> </w:t>
      </w:r>
      <w:r>
        <w:rPr>
          <w:smallCaps/>
        </w:rPr>
        <w:t xml:space="preserve">Senado de la Nación</w:t>
      </w:r>
      <w:r>
        <w:t xml:space="preserve">.</w:t>
      </w:r>
    </w:p>
  </w:footnote>
  <w:footnote w:id="43">
    <w:p>
      <w:pPr>
        <w:pStyle w:val="FootnoteText"/>
      </w:pPr>
      <w:r>
        <w:rPr>
          <w:rStyle w:val="FootnoteReference"/>
        </w:rPr>
        <w:footnoteRef/>
      </w:r>
      <w:r>
        <w:t xml:space="preserve"> </w:t>
      </w:r>
      <w:r>
        <w:t xml:space="preserve">CSJN,</w:t>
      </w:r>
      <w:r>
        <w:t xml:space="preserve"> </w:t>
      </w:r>
      <w:r>
        <w:rPr>
          <w:i/>
          <w:iCs/>
        </w:rPr>
        <w:t xml:space="preserve">Siri, Angel</w:t>
      </w:r>
      <w:r>
        <w:t xml:space="preserve">, Fallos 239:459 (1957)</w:t>
      </w:r>
      <w:r>
        <w:t xml:space="preserve">;</w:t>
      </w:r>
      <w:r>
        <w:t xml:space="preserve"> </w:t>
      </w:r>
      <w:r>
        <w:t xml:space="preserve">CSJN,</w:t>
      </w:r>
      <w:r>
        <w:t xml:space="preserve"> </w:t>
      </w:r>
      <w:r>
        <w:rPr>
          <w:i/>
          <w:iCs/>
        </w:rPr>
        <w:t xml:space="preserve">Peralta, Luis Arcenio y otro c/ Estado Nacional (Mrio. de Economía </w:t>
      </w:r>
      <w:r>
        <w:rPr>
          <w:i/>
          <w:iCs/>
        </w:rPr>
        <w:softHyphen/>
      </w:r>
      <w:r>
        <w:rPr>
          <w:i/>
          <w:iCs/>
        </w:rPr>
        <w:t xml:space="preserve"> BCRA.) s/ amparo</w:t>
      </w:r>
      <w:r>
        <w:t xml:space="preserve">, Fallos 313:1513 (Dic. 27, 1990).</w:t>
      </w:r>
    </w:p>
  </w:footnote>
  <w:footnote w:id="44">
    <w:p>
      <w:pPr>
        <w:pStyle w:val="FootnoteText"/>
      </w:pPr>
      <w:r>
        <w:rPr>
          <w:rStyle w:val="FootnoteReference"/>
        </w:rPr>
        <w:footnoteRef/>
      </w:r>
      <w:r>
        <w:t xml:space="preserve"> </w:t>
      </w:r>
      <w:r>
        <w:t xml:space="preserve">CSJN,</w:t>
      </w:r>
      <w:r>
        <w:t xml:space="preserve"> </w:t>
      </w:r>
      <w:r>
        <w:rPr>
          <w:i/>
          <w:iCs/>
        </w:rPr>
        <w:t xml:space="preserve">Recurso de hecho deducido por Batalla, Rufino en la causa Hidalgo Garzón, Carlos del Señor y otros s/ inf. art. 144 bis inc. 1 —último párrafo— según ley 14.616</w:t>
      </w:r>
      <w:r>
        <w:t xml:space="preserve"> </w:t>
      </w:r>
      <w:r>
        <w:t xml:space="preserve">(Dic. 4, 2018).</w:t>
      </w:r>
    </w:p>
  </w:footnote>
  <w:footnote w:id="45">
    <w:p>
      <w:pPr>
        <w:pStyle w:val="FootnoteText"/>
      </w:pPr>
      <w:r>
        <w:rPr>
          <w:rStyle w:val="FootnoteReference"/>
        </w:rPr>
        <w:footnoteRef/>
      </w:r>
      <w:r>
        <w:t xml:space="preserve"> </w:t>
      </w:r>
      <w:r>
        <w:t xml:space="preserve">CSJN,</w:t>
      </w:r>
      <w:r>
        <w:t xml:space="preserve"> </w:t>
      </w:r>
      <w:r>
        <w:rPr>
          <w:i/>
          <w:iCs/>
        </w:rPr>
        <w:t xml:space="preserve">Fernández de Kirchner, Cristina en carácter de Presidenta del Honorable Senado de la Nación s/ acción declarativa de certeza</w:t>
      </w:r>
      <w:r>
        <w:t xml:space="preserve">. Expediente No. CSJ 000353/2020/CS001 (Abr. 24, 2020). Disponible en:</w:t>
      </w:r>
      <w:r>
        <w:t xml:space="preserve"> </w:t>
      </w:r>
      <w:hyperlink r:id="rId46">
        <w:r>
          <w:rPr>
            <w:rStyle w:val="Hyperlink"/>
          </w:rPr>
          <w:t xml:space="preserve">https://www.cij.gov.ar/nota-37179-La-Corte-dict--sentencia-en-la-causa--Fern-ndez-de-Kirchner--Cristina-en-car-cter-de-Presidenta-del-Honorable-Senado-de-la-Naci-n-s--acci-n-declarativa-de-certeza-.html</w:t>
        </w:r>
      </w:hyperlink>
      <w:r>
        <w:t xml:space="preserve">.</w:t>
      </w:r>
    </w:p>
  </w:footnote>
  <w:footnote w:id="47">
    <w:p>
      <w:pPr>
        <w:pStyle w:val="FootnoteText"/>
      </w:pPr>
      <w:r>
        <w:rPr>
          <w:rStyle w:val="FootnoteReference"/>
        </w:rPr>
        <w:footnoteRef/>
      </w:r>
      <w:r>
        <w:t xml:space="preserve"> </w:t>
      </w:r>
      <w:r>
        <w:t xml:space="preserve">CNCrim. y Correc. (Sala VII),</w:t>
      </w:r>
      <w:r>
        <w:t xml:space="preserve"> </w:t>
      </w:r>
      <w:r>
        <w:rPr>
          <w:i/>
          <w:iCs/>
        </w:rPr>
        <w:t xml:space="preserve">G., N. s/sobreseimiento, aborto, instr. 33/170</w:t>
      </w:r>
      <w:r>
        <w:t xml:space="preserve">, E.D. 222:435 (Abr. 17, 2007); SC (Tucumán),</w:t>
      </w:r>
      <w:r>
        <w:t xml:space="preserve"> </w:t>
      </w:r>
      <w:r>
        <w:rPr>
          <w:i/>
          <w:iCs/>
        </w:rPr>
        <w:t xml:space="preserve">D. M., S.</w:t>
      </w:r>
      <w:r>
        <w:t xml:space="preserve">, LL 22:938 (Abr. 5, 1941).</w:t>
      </w:r>
    </w:p>
  </w:footnote>
  <w:footnote w:id="48">
    <w:p>
      <w:pPr>
        <w:pStyle w:val="FootnoteText"/>
      </w:pPr>
      <w:r>
        <w:rPr>
          <w:rStyle w:val="FootnoteReference"/>
        </w:rPr>
        <w:footnoteRef/>
      </w:r>
      <w:r>
        <w:t xml:space="preserve"> </w:t>
      </w:r>
      <w:r>
        <w:t xml:space="preserve">J.CyC No 2 (San Martín),</w:t>
      </w:r>
      <w:r>
        <w:t xml:space="preserve"> </w:t>
      </w:r>
      <w:r>
        <w:rPr>
          <w:i/>
          <w:iCs/>
        </w:rPr>
        <w:t xml:space="preserve">Castro de Guerrero, Anibal s/ homicidio</w:t>
      </w:r>
      <w:r>
        <w:t xml:space="preserve">, Suplemento de Derecho Penal de La Ley del 10 oct. 2017. Expediente No. 28123/2016 (Dic. 3, 2016).</w:t>
      </w:r>
    </w:p>
  </w:footnote>
  <w:footnote w:id="49">
    <w:p>
      <w:pPr>
        <w:pStyle w:val="FootnoteText"/>
      </w:pPr>
      <w:r>
        <w:rPr>
          <w:rStyle w:val="FootnoteReference"/>
        </w:rPr>
        <w:footnoteRef/>
      </w:r>
      <w:r>
        <w:t xml:space="preserve"> </w:t>
      </w:r>
      <w:r>
        <w:t xml:space="preserve">CNCPenal,</w:t>
      </w:r>
      <w:r>
        <w:t xml:space="preserve"> </w:t>
      </w:r>
      <w:r>
        <w:rPr>
          <w:i/>
          <w:iCs/>
        </w:rPr>
        <w:t xml:space="preserve">Moccia, Gabriela s/ recurso de casacion</w:t>
      </w:r>
      <w:r>
        <w:t xml:space="preserve">, SAIJ SU33000928. Expediente No. 582 (Mar. 11, 1996). Disponible en:</w:t>
      </w:r>
      <w:r>
        <w:t xml:space="preserve"> </w:t>
      </w:r>
      <w:hyperlink r:id="rId50">
        <w:r>
          <w:rPr>
            <w:rStyle w:val="Hyperlink"/>
          </w:rPr>
          <w:t xml:space="preserve">http://www.saij.gob.ar/estafa-ardid-engano-hurto-su33000928/123456789-0abc-defg8290-0033soiramus?&amp;o=0&amp;f=Total%7CFecha%7CEstado%20de%20Vigencia%5B5%2C1%5D%7CTema%5B5%2C1%5D%7COrganismo%5B5%2C1%5D%7CAutor%5B5%2C1%5D%7CJurisdicci%F3n/Federal%7CTribunal%5B5%2C1%5D%7CPublicaci%F3n%5B5%2C1%5D%7CColecci%F3n%20tem%E1tica%5B5%2C1%5D%7CTipo%20de%20Documento/Jurisprudencia&amp;t=169634</w:t>
        </w:r>
      </w:hyperlink>
      <w:r>
        <w:t xml:space="preserve">.</w:t>
      </w:r>
    </w:p>
  </w:footnote>
  <w:footnote w:id="51">
    <w:p>
      <w:pPr>
        <w:pStyle w:val="FootnoteText"/>
      </w:pPr>
      <w:r>
        <w:rPr>
          <w:rStyle w:val="FootnoteReference"/>
        </w:rPr>
        <w:footnoteRef/>
      </w:r>
      <w:r>
        <w:t xml:space="preserve"> </w:t>
      </w:r>
      <w:r>
        <w:t xml:space="preserve">CNCom,</w:t>
      </w:r>
      <w:r>
        <w:t xml:space="preserve"> </w:t>
      </w:r>
      <w:r>
        <w:rPr>
          <w:i/>
          <w:iCs/>
        </w:rPr>
        <w:t xml:space="preserve">Amaru SACI s/ quiebra s/ incidente de verificación de crédito del Gobierno de la Ciudad de Buenos Aires</w:t>
      </w:r>
      <w:r>
        <w:t xml:space="preserve">, El Dial.com AABBB4 (Feb. 11, 2020). Disponible en:</w:t>
      </w:r>
      <w:r>
        <w:t xml:space="preserve"> </w:t>
      </w:r>
      <w:hyperlink r:id="rId52">
        <w:r>
          <w:rPr>
            <w:rStyle w:val="Hyperlink"/>
          </w:rPr>
          <w:t xml:space="preserve">https://www.eldial.com/nuevo/lite-jurisprudencia-detalle.asp?base=14&amp;id=52021&amp;t=j&amp;h=u</w:t>
        </w:r>
      </w:hyperlink>
      <w:r>
        <w:t xml:space="preserve">.</w:t>
      </w:r>
    </w:p>
  </w:footnote>
  <w:footnote w:id="53">
    <w:p>
      <w:pPr>
        <w:pStyle w:val="FootnoteText"/>
      </w:pPr>
      <w:r>
        <w:rPr>
          <w:rStyle w:val="FootnoteReference"/>
        </w:rPr>
        <w:footnoteRef/>
      </w:r>
      <w:r>
        <w:t xml:space="preserve"> </w:t>
      </w:r>
      <w:r>
        <w:t xml:space="preserve">CNCAF (Sala I),</w:t>
      </w:r>
      <w:r>
        <w:t xml:space="preserve"> </w:t>
      </w:r>
      <w:r>
        <w:rPr>
          <w:i/>
          <w:iCs/>
        </w:rPr>
        <w:t xml:space="preserve">Giustiniani, Rubén Héctor c. YPF s/ amparo por mora</w:t>
      </w:r>
      <w:r>
        <w:t xml:space="preserve">. Expediente No. 37747/2013 (Abr. 17, 2020). Disponible en:</w:t>
      </w:r>
      <w:r>
        <w:t xml:space="preserve"> </w:t>
      </w:r>
      <w:hyperlink r:id="rId54">
        <w:r>
          <w:rPr>
            <w:rStyle w:val="Hyperlink"/>
          </w:rPr>
          <w:t xml:space="preserve">https://www.cij.gov.ar/nota-37131-Resoluci-n-de-la-Sala-I-de-la-C-mara-Nacional-de-Apelaciones-en-lo-Contencioso-Administrativo-Federal-en-causa-37747-2013--GIUSTINIANI---RUBEN-HECTOR-c--YPF-SA-s--AMPARO-POR-MORA-.html</w:t>
        </w:r>
      </w:hyperlink>
      <w:r>
        <w:t xml:space="preserve">.</w:t>
      </w:r>
    </w:p>
  </w:footnote>
  <w:footnote w:id="55">
    <w:p>
      <w:pPr>
        <w:pStyle w:val="FootnoteText"/>
      </w:pPr>
      <w:r>
        <w:rPr>
          <w:rStyle w:val="FootnoteReference"/>
        </w:rPr>
        <w:footnoteRef/>
      </w:r>
      <w:r>
        <w:t xml:space="preserve"> </w:t>
      </w:r>
      <w:r>
        <w:t xml:space="preserve">Corte IDH,</w:t>
      </w:r>
      <w:r>
        <w:t xml:space="preserve"> </w:t>
      </w:r>
      <w:r>
        <w:rPr>
          <w:i/>
          <w:iCs/>
        </w:rPr>
        <w:t xml:space="preserve">Caso Loayza Tamayo Vs. Perú</w:t>
      </w:r>
      <w:r>
        <w:t xml:space="preserve">, Serie C 33. Fondo, Reparaciones y Costas (Sep. 17, 1997).</w:t>
      </w:r>
    </w:p>
  </w:footnote>
  <w:footnote w:id="56">
    <w:p>
      <w:pPr>
        <w:pStyle w:val="FootnoteText"/>
      </w:pPr>
      <w:r>
        <w:rPr>
          <w:rStyle w:val="FootnoteReference"/>
        </w:rPr>
        <w:footnoteRef/>
      </w:r>
      <w:r>
        <w:t xml:space="preserve"> </w:t>
      </w:r>
      <w:r>
        <w:t xml:space="preserve">CIDH,</w:t>
      </w:r>
      <w:r>
        <w:t xml:space="preserve"> </w:t>
      </w:r>
      <w:r>
        <w:rPr>
          <w:i/>
          <w:iCs/>
        </w:rPr>
        <w:t xml:space="preserve">Nestor José y Luis Uzcátegui</w:t>
      </w:r>
      <w:r>
        <w:t xml:space="preserve">, Informe No. 88/10. del Admisibilidad (Jul. 14, 2010).</w:t>
      </w:r>
    </w:p>
  </w:footnote>
  <w:footnote w:id="57">
    <w:p>
      <w:pPr>
        <w:pStyle w:val="FootnoteText"/>
      </w:pPr>
      <w:r>
        <w:rPr>
          <w:rStyle w:val="FootnoteReference"/>
        </w:rPr>
        <w:footnoteRef/>
      </w:r>
      <w:r>
        <w:t xml:space="preserve"> </w:t>
      </w:r>
      <w:r>
        <w:t xml:space="preserve">TEDH,</w:t>
      </w:r>
      <w:r>
        <w:t xml:space="preserve"> </w:t>
      </w:r>
      <w:r>
        <w:rPr>
          <w:i/>
          <w:iCs/>
        </w:rPr>
        <w:t xml:space="preserve">Tolstoy Miloslavsky v. The United Kingdom</w:t>
      </w:r>
      <w:r>
        <w:t xml:space="preserve">, Series A 316. Expediente No. 18139/91 (Jul. 13, 1995). Disponible en:</w:t>
      </w:r>
      <w:r>
        <w:t xml:space="preserve"> </w:t>
      </w:r>
      <w:hyperlink r:id="rId58">
        <w:r>
          <w:rPr>
            <w:rStyle w:val="Hyperlink"/>
          </w:rPr>
          <w:t xml:space="preserve">https://hudoc.echr.coe.int/eng#{%22fulltext%22:[%22tolstoy%22],%22documentcollectionid2%22:[%22GRANDCHAMBER%22,%22CHAMBER%22],%22itemid%22:[%22001-57947%22]}</w:t>
        </w:r>
      </w:hyperlink>
      <w:r>
        <w:t xml:space="preserve">.</w:t>
      </w:r>
    </w:p>
  </w:footnote>
  <w:footnote w:id="59">
    <w:p>
      <w:pPr>
        <w:pStyle w:val="FootnoteText"/>
      </w:pPr>
      <w:r>
        <w:rPr>
          <w:rStyle w:val="FootnoteReference"/>
        </w:rPr>
        <w:footnoteRef/>
      </w:r>
      <w:r>
        <w:t xml:space="preserve"> </w:t>
      </w:r>
      <w:r>
        <w:t xml:space="preserve">CCC,</w:t>
      </w:r>
      <w:r>
        <w:t xml:space="preserve"> </w:t>
      </w:r>
      <w:r>
        <w:rPr>
          <w:i/>
          <w:iCs/>
        </w:rPr>
        <w:t xml:space="preserve">Sentencia C-141/10</w:t>
      </w:r>
      <w:r>
        <w:t xml:space="preserve">. Expediente No. CRF-003 (Feb. 26, 2010). Disponible en:</w:t>
      </w:r>
      <w:r>
        <w:t xml:space="preserve"> </w:t>
      </w:r>
      <w:hyperlink r:id="rId60">
        <w:r>
          <w:rPr>
            <w:rStyle w:val="Hyperlink"/>
          </w:rPr>
          <w:t xml:space="preserve">http://www.corteconstitucional.gov.co/relatoria/2010/c-141-10.htm</w:t>
        </w:r>
      </w:hyperlink>
      <w:r>
        <w:t xml:space="preserve">; CSJ (Salta),</w:t>
      </w:r>
      <w:r>
        <w:t xml:space="preserve"> </w:t>
      </w:r>
      <w:r>
        <w:rPr>
          <w:i/>
          <w:iCs/>
        </w:rPr>
        <w:t xml:space="preserve">Cari, Irene – Presidenta de Foro De Mujeres por La Igualdad De Oportunidades – Acción De Inconstitucionalidad</w:t>
      </w:r>
      <w:r>
        <w:t xml:space="preserve">. Expediente No. 35475/12 (Jul. 12, 2013); U.S.,</w:t>
      </w:r>
      <w:r>
        <w:t xml:space="preserve"> </w:t>
      </w:r>
      <w:r>
        <w:rPr>
          <w:i/>
          <w:iCs/>
        </w:rPr>
        <w:t xml:space="preserve">New York Times v. Sullivan</w:t>
      </w:r>
      <w:r>
        <w:t xml:space="preserve">, U.S. 376:254 (1964).</w:t>
      </w:r>
    </w:p>
  </w:footnote>
  <w:footnote w:id="61">
    <w:p>
      <w:pPr>
        <w:pStyle w:val="FootnoteText"/>
      </w:pPr>
      <w:r>
        <w:rPr>
          <w:rStyle w:val="FootnoteReference"/>
        </w:rPr>
        <w:footnoteRef/>
      </w:r>
      <w:r>
        <w:t xml:space="preserve"> </w:t>
      </w:r>
      <w:r>
        <w:t xml:space="preserve">CDH,</w:t>
      </w:r>
      <w:r>
        <w:t xml:space="preserve"> </w:t>
      </w:r>
      <w:r>
        <w:t xml:space="preserve">«Observación general N</w:t>
      </w:r>
      <w:r>
        <w:rPr>
          <w:vertAlign w:val="superscript"/>
        </w:rPr>
        <w:t xml:space="preserve">o</w:t>
      </w:r>
      <w:r>
        <w:t xml:space="preserve"> </w:t>
      </w:r>
      <w:r>
        <w:t xml:space="preserve">34. Artículo 19 Libertad de opinión y libertad de expresión»</w:t>
      </w:r>
      <w:r>
        <w:t xml:space="preserve">. No. CCPR/C/GC/34, Comité de Derechos Humanos de las Naciones Unidas, Ginebra. 12 de Septiembre de 2011.</w:t>
      </w:r>
    </w:p>
  </w:footnote>
  <w:footnote w:id="63">
    <w:p>
      <w:pPr>
        <w:pStyle w:val="FootnoteText"/>
      </w:pPr>
      <w:r>
        <w:rPr>
          <w:rStyle w:val="FootnoteReference"/>
        </w:rPr>
        <w:footnoteRef/>
      </w:r>
      <w:r>
        <w:t xml:space="preserve"> </w:t>
      </w:r>
      <w:r>
        <w:t xml:space="preserve">CIDH,</w:t>
      </w:r>
      <w:r>
        <w:t xml:space="preserve"> </w:t>
      </w:r>
      <w:r>
        <w:t xml:space="preserve">«Marco jurídico interamericano del derecho a la Libertad de Expresión»</w:t>
      </w:r>
      <w:r>
        <w:t xml:space="preserve">. No. OEA/Ser.L/V/II CIDH/RELE/INF. 2/09, Relatoría Especial para la Libertad de Expresión de la Comisión Interamericana de Derechos Humanos. 30 de Diciembre de 2009.</w:t>
      </w:r>
    </w:p>
  </w:footnote>
  <w:footnote w:id="64">
    <w:p>
      <w:pPr>
        <w:pStyle w:val="FootnoteText"/>
      </w:pPr>
      <w:r>
        <w:rPr>
          <w:rStyle w:val="FootnoteReference"/>
        </w:rPr>
        <w:footnoteRef/>
      </w:r>
      <w:r>
        <w:t xml:space="preserve"> </w:t>
      </w:r>
      <w:r>
        <w:t xml:space="preserve">ADC,</w:t>
      </w:r>
      <w:r>
        <w:t xml:space="preserve"> </w:t>
      </w:r>
      <w:r>
        <w:t xml:space="preserve">«Aborto no punible en la Argentina: Estado de situación»</w:t>
      </w:r>
      <w:r>
        <w:t xml:space="preserve">. Asociación por los Derechos Civiles, Buenos Aires, Argentina. Marzo de 2015.</w:t>
      </w:r>
    </w:p>
  </w:footnote>
  <w:footnote w:id="65">
    <w:p>
      <w:pPr>
        <w:pStyle w:val="FootnoteText"/>
      </w:pPr>
      <w:r>
        <w:rPr>
          <w:rStyle w:val="FootnoteReference"/>
        </w:rPr>
        <w:footnoteRef/>
      </w:r>
      <w:r>
        <w:t xml:space="preserve"> </w:t>
      </w:r>
      <w:r>
        <w:t xml:space="preserve">OCDE,</w:t>
      </w:r>
      <w:r>
        <w:t xml:space="preserve"> </w:t>
      </w:r>
      <w:r>
        <w:t xml:space="preserve">«Recommendation on Public Procurement»</w:t>
      </w:r>
      <w:r>
        <w:t xml:space="preserve">. Directorate for Public Governance and Territorial Development. OCDE. 2015.</w:t>
      </w:r>
    </w:p>
  </w:footnote>
  <w:footnote w:id="66">
    <w:p>
      <w:pPr>
        <w:pStyle w:val="FootnoteText"/>
      </w:pPr>
      <w:r>
        <w:rPr>
          <w:rStyle w:val="FootnoteReference"/>
        </w:rPr>
        <w:footnoteRef/>
      </w:r>
      <w:r>
        <w:t xml:space="preserve"> </w:t>
      </w:r>
      <w:r>
        <w:t xml:space="preserve">A. Del Campo; N. Zara; R. Álvarez-Ugarte,</w:t>
      </w:r>
      <w:r>
        <w:t xml:space="preserve"> </w:t>
      </w:r>
      <w:r>
        <w:t xml:space="preserve">«Are Risks the New Rights? The Perils of Risk-based Approaches to Speech Regulation»</w:t>
      </w:r>
      <w:r>
        <w:t xml:space="preserve">. Artículos de investigación No. 63, Centro de Estudios en Libertad de Expresión (CELE), Buenos Aires, Argentina. DOI:</w:t>
      </w:r>
      <w:r>
        <w:t xml:space="preserve"> </w:t>
      </w:r>
      <w:hyperlink r:id="rId67">
        <w:r>
          <w:rPr>
            <w:rStyle w:val="Hyperlink"/>
          </w:rPr>
          <w:t xml:space="preserve">10.2139/ssrn.5161173</w:t>
        </w:r>
      </w:hyperlink>
      <w:r>
        <w:t xml:space="preserve">. 28 de Febrero de 2025.</w:t>
      </w:r>
    </w:p>
  </w:footnote>
  <w:footnote w:id="69">
    <w:p>
      <w:pPr>
        <w:pStyle w:val="FootnoteText"/>
      </w:pPr>
      <w:r>
        <w:rPr>
          <w:rStyle w:val="FootnoteReference"/>
        </w:rPr>
        <w:footnoteRef/>
      </w:r>
      <w:r>
        <w:t xml:space="preserve"> </w:t>
      </w:r>
      <w:r>
        <w:rPr>
          <w:smallCaps/>
        </w:rPr>
        <w:t xml:space="preserve">E. S. Morgan</w:t>
      </w:r>
      <w:r>
        <w:t xml:space="preserve">,</w:t>
      </w:r>
      <w:r>
        <w:t xml:space="preserve"> </w:t>
      </w:r>
      <w:r>
        <w:rPr>
          <w:i/>
          <w:iCs/>
        </w:rPr>
        <w:t xml:space="preserve">Inventing the People</w:t>
      </w:r>
      <w:r>
        <w:t xml:space="preserve">, cit., pág. 135.</w:t>
      </w:r>
    </w:p>
  </w:footnote>
  <w:footnote w:id="70">
    <w:p>
      <w:pPr>
        <w:pStyle w:val="FootnoteText"/>
      </w:pPr>
      <w:r>
        <w:rPr>
          <w:rStyle w:val="FootnoteReference"/>
        </w:rPr>
        <w:footnoteRef/>
      </w:r>
      <w:r>
        <w:t xml:space="preserve"> </w:t>
      </w:r>
      <w:r>
        <w:rPr>
          <w:i/>
          <w:iCs/>
        </w:rPr>
        <w:t xml:space="preserve">Ibid.</w:t>
      </w:r>
      <w:r>
        <w:t xml:space="preserve">, págs. 140-156.</w:t>
      </w:r>
    </w:p>
  </w:footnote>
  <w:footnote w:id="71">
    <w:p>
      <w:pPr>
        <w:pStyle w:val="FootnoteText"/>
      </w:pPr>
      <w:r>
        <w:rPr>
          <w:rStyle w:val="FootnoteReference"/>
        </w:rPr>
        <w:footnoteRef/>
      </w:r>
      <w:r>
        <w:t xml:space="preserve"> </w:t>
      </w:r>
      <w:r>
        <w:t xml:space="preserve">CSJN,</w:t>
      </w:r>
      <w:r>
        <w:t xml:space="preserve"> </w:t>
      </w:r>
      <w:r>
        <w:rPr>
          <w:i/>
          <w:iCs/>
        </w:rPr>
        <w:t xml:space="preserve">CSJN</w:t>
      </w:r>
      <w:r>
        <w:t xml:space="preserve">, Cit., cdo. 12.</w:t>
      </w:r>
    </w:p>
  </w:footnote>
  <w:footnote w:id="72">
    <w:p>
      <w:pPr>
        <w:pStyle w:val="FootnoteText"/>
      </w:pPr>
      <w:r>
        <w:rPr>
          <w:rStyle w:val="FootnoteReference"/>
        </w:rPr>
        <w:footnoteRef/>
      </w:r>
      <w:r>
        <w:t xml:space="preserve"> </w:t>
      </w:r>
      <w:r>
        <w:t xml:space="preserve">CSJN,</w:t>
      </w:r>
      <w:r>
        <w:t xml:space="preserve"> </w:t>
      </w:r>
      <w:r>
        <w:rPr>
          <w:i/>
          <w:iCs/>
        </w:rPr>
        <w:t xml:space="preserve">CSJN</w:t>
      </w:r>
      <w:r>
        <w:t xml:space="preserve">, Cit.</w:t>
      </w:r>
    </w:p>
  </w:footnote>
  <w:footnote w:id="73">
    <w:p>
      <w:pPr>
        <w:pStyle w:val="FootnoteText"/>
      </w:pPr>
      <w:r>
        <w:rPr>
          <w:rStyle w:val="FootnoteReference"/>
        </w:rPr>
        <w:footnoteRef/>
      </w:r>
      <w:r>
        <w:t xml:space="preserve"> </w:t>
      </w:r>
      <w:r>
        <w:t xml:space="preserve">CIDH, “Marco jurídico interamericano del derecho a la Libertad de Expresión”, cit., párr., 39.</w:t>
      </w:r>
    </w:p>
  </w:footnote>
  <w:footnote w:id="74">
    <w:p>
      <w:pPr>
        <w:pStyle w:val="FootnoteText"/>
      </w:pPr>
      <w:r>
        <w:rPr>
          <w:rStyle w:val="FootnoteReference"/>
        </w:rPr>
        <w:footnoteRef/>
      </w:r>
      <w:r>
        <w:t xml:space="preserve"> </w:t>
      </w:r>
      <w:r>
        <w:t xml:space="preserve">CSJN,</w:t>
      </w:r>
      <w:r>
        <w:t xml:space="preserve"> </w:t>
      </w:r>
      <w:r>
        <w:rPr>
          <w:i/>
          <w:iCs/>
        </w:rPr>
        <w:t xml:space="preserve">CSJN</w:t>
      </w:r>
      <w:r>
        <w:t xml:space="preserve">, Cit., cdo. 14.</w:t>
      </w:r>
    </w:p>
  </w:footnote>
  <w:footnote w:id="75">
    <w:p>
      <w:pPr>
        <w:pStyle w:val="FootnoteText"/>
      </w:pPr>
      <w:r>
        <w:rPr>
          <w:rStyle w:val="FootnoteReference"/>
        </w:rPr>
        <w:footnoteRef/>
      </w:r>
      <w:r>
        <w:t xml:space="preserve"> </w:t>
      </w:r>
      <w:r>
        <w:t xml:space="preserve">R. Post, “Theorizing Disagreement”, Cit., pág., 1343.</w:t>
      </w:r>
    </w:p>
  </w:footnote>
  <w:footnote w:id="76">
    <w:p>
      <w:pPr>
        <w:pStyle w:val="FootnoteText"/>
      </w:pPr>
      <w:r>
        <w:rPr>
          <w:rStyle w:val="FootnoteReference"/>
        </w:rPr>
        <w:footnoteRef/>
      </w:r>
      <w:r>
        <w:t xml:space="preserve"> </w:t>
      </w:r>
      <w:r>
        <w:rPr>
          <w:i/>
          <w:iCs/>
        </w:rPr>
        <w:t xml:space="preserve">Ibid.</w:t>
      </w:r>
      <w:r>
        <w:t xml:space="preserve">, págs. 1343-1355.</w:t>
      </w:r>
    </w:p>
  </w:footnote>
  <w:footnote w:id="77">
    <w:p>
      <w:pPr>
        <w:pStyle w:val="FootnoteText"/>
      </w:pPr>
      <w:r>
        <w:rPr>
          <w:rStyle w:val="FootnoteReference"/>
        </w:rPr>
        <w:footnoteRef/>
      </w:r>
      <w:r>
        <w:t xml:space="preserve"> </w:t>
      </w:r>
      <w:r>
        <w:t xml:space="preserve">A. Del Campo y otros,</w:t>
      </w:r>
      <w:r>
        <w:t xml:space="preserve"> </w:t>
      </w:r>
      <w:r>
        <w:rPr>
          <w:i/>
          <w:iCs/>
        </w:rPr>
        <w:t xml:space="preserve">Are Risks the New Rights?</w:t>
      </w:r>
      <w:r>
        <w:t xml:space="preserve">, cit.; D. M. J. Lazer y otros, “The Science of Fake News”, Cit.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4B1B" w:rsidRDefault="00E357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4B1B" w:rsidRDefault="00E357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4B1B" w:rsidRDefault="00E357E2">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A26234B1"/>
    <w:multiLevelType w:val="multilevel"/>
    <w:tmpl w:val="3694404E"/>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C9B2640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3280802"/>
    <w:multiLevelType w:val="multilevel"/>
    <w:tmpl w:val="DF22C82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EA454B4C"/>
    <w:multiLevelType w:val="multilevel"/>
    <w:tmpl w:val="9796F1E4"/>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4">
    <w:nsid w:val="FFFFFF7C"/>
    <w:multiLevelType w:val="singleLevel"/>
    <w:tmpl w:val="848EB854"/>
    <w:lvl w:ilvl="0">
      <w:start w:val="1"/>
      <w:numFmt w:val="decimal"/>
      <w:lvlText w:val="%1."/>
      <w:lvlJc w:val="left"/>
      <w:pPr>
        <w:tabs>
          <w:tab w:pos="1800" w:val="num"/>
        </w:tabs>
        <w:ind w:hanging="360" w:left="1800"/>
      </w:pPr>
    </w:lvl>
  </w:abstractNum>
  <w:abstractNum w15:restartNumberingAfterBreak="0" w:abstractNumId="5">
    <w:nsid w:val="FFFFFF7D"/>
    <w:multiLevelType w:val="singleLevel"/>
    <w:tmpl w:val="EA30BDC8"/>
    <w:lvl w:ilvl="0">
      <w:start w:val="1"/>
      <w:numFmt w:val="decimal"/>
      <w:lvlText w:val="%1."/>
      <w:lvlJc w:val="left"/>
      <w:pPr>
        <w:tabs>
          <w:tab w:pos="1440" w:val="num"/>
        </w:tabs>
        <w:ind w:hanging="360" w:left="1440"/>
      </w:pPr>
    </w:lvl>
  </w:abstractNum>
  <w:abstractNum w15:restartNumberingAfterBreak="0" w:abstractNumId="6">
    <w:nsid w:val="FFFFFF7E"/>
    <w:multiLevelType w:val="singleLevel"/>
    <w:tmpl w:val="194E46B4"/>
    <w:lvl w:ilvl="0">
      <w:start w:val="1"/>
      <w:numFmt w:val="decimal"/>
      <w:lvlText w:val="%1."/>
      <w:lvlJc w:val="left"/>
      <w:pPr>
        <w:tabs>
          <w:tab w:pos="1080" w:val="num"/>
        </w:tabs>
        <w:ind w:hanging="360" w:left="1080"/>
      </w:pPr>
    </w:lvl>
  </w:abstractNum>
  <w:abstractNum w15:restartNumberingAfterBreak="0" w:abstractNumId="7">
    <w:nsid w:val="FFFFFF7F"/>
    <w:multiLevelType w:val="singleLevel"/>
    <w:tmpl w:val="C922DB04"/>
    <w:lvl w:ilvl="0">
      <w:start w:val="1"/>
      <w:numFmt w:val="decimal"/>
      <w:lvlText w:val="%1."/>
      <w:lvlJc w:val="left"/>
      <w:pPr>
        <w:tabs>
          <w:tab w:pos="720" w:val="num"/>
        </w:tabs>
        <w:ind w:hanging="360" w:left="720"/>
      </w:pPr>
    </w:lvl>
  </w:abstractNum>
  <w:abstractNum w15:restartNumberingAfterBreak="0" w:abstractNumId="8">
    <w:nsid w:val="FFFFFF80"/>
    <w:multiLevelType w:val="singleLevel"/>
    <w:tmpl w:val="9026780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9">
    <w:nsid w:val="FFFFFF81"/>
    <w:multiLevelType w:val="singleLevel"/>
    <w:tmpl w:val="1D22FF4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10">
    <w:nsid w:val="FFFFFF82"/>
    <w:multiLevelType w:val="singleLevel"/>
    <w:tmpl w:val="838290C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11">
    <w:nsid w:val="FFFFFF83"/>
    <w:multiLevelType w:val="singleLevel"/>
    <w:tmpl w:val="A3486A9E"/>
    <w:lvl w:ilvl="0">
      <w:start w:val="1"/>
      <w:numFmt w:val="bullet"/>
      <w:lvlText w:val=""/>
      <w:lvlJc w:val="left"/>
      <w:pPr>
        <w:tabs>
          <w:tab w:pos="720" w:val="num"/>
        </w:tabs>
        <w:ind w:hanging="360" w:left="720"/>
      </w:pPr>
      <w:rPr>
        <w:rFonts w:ascii="Symbol" w:hAnsi="Symbol" w:hint="default"/>
      </w:rPr>
    </w:lvl>
  </w:abstractNum>
  <w:abstractNum w15:restartNumberingAfterBreak="0" w:abstractNumId="12">
    <w:nsid w:val="FFFFFF88"/>
    <w:multiLevelType w:val="singleLevel"/>
    <w:tmpl w:val="DD64E7E2"/>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897838B4"/>
    <w:lvl w:ilvl="0">
      <w:start w:val="1"/>
      <w:numFmt w:val="bullet"/>
      <w:lvlText w:val=""/>
      <w:lvlJc w:val="left"/>
      <w:pPr>
        <w:tabs>
          <w:tab w:pos="360" w:val="num"/>
        </w:tabs>
        <w:ind w:hanging="360" w:left="360"/>
      </w:pPr>
      <w:rPr>
        <w:rFonts w:ascii="Symbol" w:hAnsi="Symbol" w:hint="default"/>
      </w:rPr>
    </w:lvl>
  </w:abstractNum>
  <w:abstractNum w15:restartNumberingAfterBreak="0" w:abstractNumId="14">
    <w:nsid w:val="006A0085"/>
    <w:multiLevelType w:val="hybridMultilevel"/>
    <w:tmpl w:val="5E0A1E0C"/>
    <w:lvl w:ilvl="0" w:tplc="ABD8F92E">
      <w:start w:val="1"/>
      <w:numFmt w:val="decimal"/>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5">
    <w:nsid w:val="010D7A3E"/>
    <w:multiLevelType w:val="hybridMultilevel"/>
    <w:tmpl w:val="D9AE89B4"/>
    <w:lvl w:ilvl="0" w:tplc="D97E3596">
      <w:start w:val="1"/>
      <w:numFmt w:val="decimal"/>
      <w:pStyle w:val="Heading21"/>
      <w:lvlText w:val="%1."/>
      <w:lvlJc w:val="left"/>
      <w:pPr>
        <w:ind w:hanging="360" w:left="720"/>
      </w:p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16">
    <w:nsid w:val="073F3EBB"/>
    <w:multiLevelType w:val="hybridMultilevel"/>
    <w:tmpl w:val="871CDBD6"/>
    <w:lvl w:ilvl="0" w:tplc="B99293BC">
      <w:start w:val="1"/>
      <w:numFmt w:val="upperLetter"/>
      <w:pStyle w:val="Heading1"/>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7">
    <w:nsid w:val="196B5F37"/>
    <w:multiLevelType w:val="hybridMultilevel"/>
    <w:tmpl w:val="3424C36A"/>
    <w:lvl w:ilvl="0" w:tplc="CB18D828">
      <w:start w:val="1"/>
      <w:numFmt w:val="decimal"/>
      <w:lvlText w:val="%1."/>
      <w:lvlJc w:val="left"/>
      <w:pPr>
        <w:ind w:hanging="360" w:left="720"/>
      </w:p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18">
    <w:nsid w:val="2C1AE401"/>
    <w:multiLevelType w:val="multilevel"/>
    <w:tmpl w:val="6C6E30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3E334098"/>
    <w:multiLevelType w:val="multilevel"/>
    <w:tmpl w:val="72F470AE"/>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0">
    <w:nsid w:val="41F63310"/>
    <w:multiLevelType w:val="hybridMultilevel"/>
    <w:tmpl w:val="68B09086"/>
    <w:lvl w:ilvl="0" w:tplc="EBF01276">
      <w:start w:val="1"/>
      <w:numFmt w:val="decimal"/>
      <w:pStyle w:val="Heading11"/>
      <w:lvlText w:val="%1."/>
      <w:lvlJc w:val="left"/>
      <w:pPr>
        <w:ind w:hanging="360" w:left="720"/>
      </w:p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21">
    <w:nsid w:val="59E57620"/>
    <w:multiLevelType w:val="hybridMultilevel"/>
    <w:tmpl w:val="160054A6"/>
    <w:lvl w:ilvl="0" w:tplc="6C1277DC">
      <w:start w:val="1"/>
      <w:numFmt w:val="lowerLetter"/>
      <w:pStyle w:val="Heading3"/>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
  </w:num>
  <w:num w:numId="2">
    <w:abstractNumId w:val="2"/>
  </w:num>
  <w:num w:numId="3">
    <w:abstractNumId w:val="19"/>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9"/>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9"/>
  </w:num>
  <w:num w:numId="8">
    <w:abstractNumId w:val="17"/>
  </w:num>
  <w:num w:numId="9">
    <w:abstractNumId w:val="15"/>
  </w:num>
  <w:num w:numId="10">
    <w:abstractNumId w:val="20"/>
  </w:num>
  <w:num w:numId="11">
    <w:abstractNumId w:val="18"/>
  </w:num>
  <w:num w:numId="12">
    <w:abstractNumId w:val="4"/>
  </w:num>
  <w:num w:numId="13">
    <w:abstractNumId w:val="5"/>
  </w:num>
  <w:num w:numId="14">
    <w:abstractNumId w:val="6"/>
  </w:num>
  <w:num w:numId="15">
    <w:abstractNumId w:val="7"/>
  </w:num>
  <w:num w:numId="16">
    <w:abstractNumId w:val="12"/>
  </w:num>
  <w:num w:numId="17">
    <w:abstractNumId w:val="8"/>
  </w:num>
  <w:num w:numId="18">
    <w:abstractNumId w:val="9"/>
  </w:num>
  <w:num w:numId="19">
    <w:abstractNumId w:val="10"/>
  </w:num>
  <w:num w:numId="20">
    <w:abstractNumId w:val="11"/>
  </w:num>
  <w:num w:numId="21">
    <w:abstractNumId w:val="13"/>
  </w:num>
  <w:num w:numId="22">
    <w:abstractNumId w:val="16"/>
  </w:num>
  <w:num w:numId="23">
    <w:abstractNumId w:val="14"/>
  </w:num>
  <w:num w:numId="24">
    <w:abstractNumId w:val="21"/>
  </w:num>
  <w:num w:numId="25">
    <w:abstractNumId w:val="18"/>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87CD0"/>
    <w:rsid w:val="00784D58"/>
    <w:rsid w:val="008D6863"/>
    <w:rsid w:val="00B86B75"/>
    <w:rsid w:val="00BC48D5"/>
    <w:rsid w:val="00C36279"/>
    <w:rsid w:val="00E315A3"/>
    <w:rsid w:val="00E357E2"/>
    <w:rsid w:val="00F002A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rsid w:val="000E185E"/>
    <w:pPr>
      <w:jc w:val="both"/>
    </w:pPr>
    <w:rPr>
      <w:rFonts w:asciiTheme="majorHAnsi" w:hAnsiTheme="majorHAnsi"/>
    </w:rPr>
  </w:style>
  <w:style w:styleId="Heading1" w:type="paragraph">
    <w:name w:val="heading 1"/>
    <w:basedOn w:val="Normal"/>
    <w:next w:val="Normal"/>
    <w:link w:val="Heading1Char"/>
    <w:rsid w:val="00DA1215"/>
    <w:pPr>
      <w:keepNext/>
      <w:keepLines/>
      <w:numPr>
        <w:numId w:val="22"/>
      </w:numPr>
      <w:spacing w:after="120" w:before="240"/>
      <w:outlineLvl w:val="0"/>
    </w:pPr>
    <w:rPr>
      <w:rFonts w:cstheme="majorBidi" w:eastAsiaTheme="majorEastAsia"/>
      <w:b/>
      <w:color w:themeColor="text1" w:val="000000"/>
      <w:sz w:val="28"/>
      <w:szCs w:val="32"/>
    </w:rPr>
  </w:style>
  <w:style w:styleId="Heading2" w:type="paragraph">
    <w:name w:val="heading 2"/>
    <w:basedOn w:val="Normal"/>
    <w:next w:val="Normal"/>
    <w:link w:val="Heading2Char"/>
    <w:rsid w:val="0055165B"/>
    <w:pPr>
      <w:keepNext/>
      <w:keepLines/>
      <w:numPr>
        <w:numId w:val="23"/>
      </w:numPr>
      <w:spacing w:after="0" w:before="40"/>
      <w:outlineLvl w:val="1"/>
    </w:pPr>
    <w:rPr>
      <w:rFonts w:cstheme="majorBidi" w:eastAsiaTheme="majorEastAsia"/>
      <w:b/>
      <w:sz w:val="26"/>
      <w:szCs w:val="26"/>
    </w:rPr>
  </w:style>
  <w:style w:styleId="Heading3" w:type="paragraph">
    <w:name w:val="heading 3"/>
    <w:basedOn w:val="Normal"/>
    <w:next w:val="Normal"/>
    <w:link w:val="Heading3Char"/>
    <w:unhideWhenUsed/>
    <w:rsid w:val="0055165B"/>
    <w:pPr>
      <w:keepNext/>
      <w:keepLines/>
      <w:numPr>
        <w:numId w:val="24"/>
      </w:numPr>
      <w:spacing w:after="0" w:before="40"/>
      <w:outlineLvl w:val="2"/>
    </w:pPr>
    <w:rPr>
      <w:rFonts w:cstheme="majorBidi" w:eastAsiaTheme="majorEastAsia"/>
      <w:b/>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A5D21"/>
    <w:pPr>
      <w:spacing w:after="180" w:before="180"/>
    </w:pPr>
  </w:style>
  <w:style w:customStyle="1" w:styleId="FirstParagraph" w:type="paragraph">
    <w:name w:val="First Paragraph"/>
    <w:basedOn w:val="BodyText"/>
    <w:next w:val="BodyText"/>
    <w:qFormat/>
    <w:rsid w:val="001A5D21"/>
  </w:style>
  <w:style w:customStyle="1" w:styleId="Compact" w:type="paragraph">
    <w:name w:val="Compact"/>
    <w:basedOn w:val="BodyText"/>
    <w:qFormat/>
    <w:rsid w:val="005436FF"/>
    <w:pPr>
      <w:spacing w:after="120" w:before="120"/>
    </w:pPr>
  </w:style>
  <w:style w:styleId="Title" w:type="paragraph">
    <w:name w:val="Title"/>
    <w:basedOn w:val="Normal"/>
    <w:next w:val="BodyText"/>
    <w:qFormat/>
    <w:rsid w:val="005F527D"/>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rsid w:val="005F527D"/>
    <w:pPr>
      <w:spacing w:before="240"/>
    </w:pPr>
    <w:rPr>
      <w:sz w:val="30"/>
      <w:szCs w:val="30"/>
    </w:rPr>
  </w:style>
  <w:style w:customStyle="1" w:styleId="Author" w:type="paragraph">
    <w:name w:val="Author"/>
    <w:next w:val="BodyText"/>
    <w:qFormat/>
    <w:rsid w:val="009A30B2"/>
    <w:pPr>
      <w:keepNext/>
      <w:keepLines/>
      <w:jc w:val="center"/>
    </w:pPr>
    <w:rPr>
      <w:rFonts w:asciiTheme="majorHAnsi" w:hAnsiTheme="majorHAnsi"/>
    </w:rPr>
  </w:style>
  <w:style w:styleId="Date" w:type="paragraph">
    <w:name w:val="Date"/>
    <w:next w:val="BodyText"/>
    <w:qFormat/>
    <w:rsid w:val="005F527D"/>
    <w:pPr>
      <w:keepNext/>
      <w:keepLines/>
      <w:jc w:val="center"/>
    </w:pPr>
    <w:rPr>
      <w:rFonts w:asciiTheme="majorHAnsi" w:hAnsiTheme="majorHAnsi"/>
      <w:b/>
    </w:rPr>
  </w:style>
  <w:style w:customStyle="1" w:styleId="Abstract" w:type="paragraph">
    <w:name w:val="Abstract"/>
    <w:basedOn w:val="Normal"/>
    <w:next w:val="BodyText"/>
    <w:qFormat/>
    <w:rsid w:val="005C31B3"/>
    <w:pPr>
      <w:keepNext/>
      <w:keepLines/>
      <w:spacing w:after="300" w:before="300"/>
    </w:pPr>
    <w:rPr>
      <w:sz w:val="20"/>
      <w:szCs w:val="20"/>
    </w:rPr>
  </w:style>
  <w:style w:styleId="Bibliography" w:type="paragraph">
    <w:name w:val="Bibliography"/>
    <w:basedOn w:val="Normal"/>
    <w:qFormat/>
    <w:rsid w:val="005C31B3"/>
  </w:style>
  <w:style w:customStyle="1" w:styleId="Heading11" w:type="paragraph">
    <w:name w:val="Heading 11"/>
    <w:basedOn w:val="Normal"/>
    <w:next w:val="BodyText"/>
    <w:uiPriority w:val="9"/>
    <w:qFormat/>
    <w:rsid w:val="00163037"/>
    <w:pPr>
      <w:keepNext/>
      <w:keepLines/>
      <w:numPr>
        <w:numId w:val="10"/>
      </w:numPr>
      <w:spacing w:after="240" w:before="480"/>
      <w:outlineLvl w:val="0"/>
    </w:pPr>
    <w:rPr>
      <w:rFonts w:cstheme="majorBidi" w:eastAsiaTheme="majorEastAsia"/>
      <w:b/>
      <w:bCs/>
      <w:color w:themeColor="text1" w:themeTint="F2" w:val="0D0D0D"/>
      <w:sz w:val="32"/>
      <w:szCs w:val="32"/>
    </w:rPr>
  </w:style>
  <w:style w:customStyle="1" w:styleId="Heading21" w:type="paragraph">
    <w:name w:val="Heading 21"/>
    <w:basedOn w:val="Normal"/>
    <w:next w:val="BodyText"/>
    <w:uiPriority w:val="9"/>
    <w:unhideWhenUsed/>
    <w:qFormat/>
    <w:rsid w:val="00ED6FF2"/>
    <w:pPr>
      <w:keepNext/>
      <w:keepLines/>
      <w:numPr>
        <w:numId w:val="9"/>
      </w:numPr>
      <w:spacing w:after="240" w:before="200"/>
      <w:ind w:hanging="357" w:left="357"/>
      <w:outlineLvl w:val="1"/>
    </w:pPr>
    <w:rPr>
      <w:rFonts w:cstheme="majorBidi" w:eastAsiaTheme="majorEastAsia"/>
      <w:b/>
      <w:bCs/>
      <w:sz w:val="28"/>
      <w:szCs w:val="32"/>
    </w:rPr>
  </w:style>
  <w:style w:customStyle="1" w:styleId="Heading31" w:type="paragraph">
    <w:name w:val="Heading 31"/>
    <w:basedOn w:val="Normal"/>
    <w:next w:val="BodyText"/>
    <w:uiPriority w:val="9"/>
    <w:unhideWhenUsed/>
    <w:qFormat/>
    <w:rsid w:val="00946794"/>
    <w:pPr>
      <w:keepNext/>
      <w:keepLines/>
      <w:spacing w:after="120" w:before="200"/>
      <w:outlineLvl w:val="2"/>
    </w:pPr>
    <w:rPr>
      <w:rFonts w:cstheme="majorBidi" w:eastAsiaTheme="majorEastAsia"/>
      <w:b/>
      <w:bCs/>
      <w:sz w:val="28"/>
      <w:szCs w:val="28"/>
    </w:rPr>
  </w:style>
  <w:style w:customStyle="1" w:styleId="Heading41" w:type="paragraph">
    <w:name w:val="Heading 41"/>
    <w:basedOn w:val="Normal"/>
    <w:next w:val="BodyText"/>
    <w:uiPriority w:val="9"/>
    <w:unhideWhenUsed/>
    <w:qFormat/>
    <w:rsid w:val="0097708F"/>
    <w:pPr>
      <w:keepNext/>
      <w:keepLines/>
      <w:spacing w:after="0" w:before="200"/>
      <w:outlineLvl w:val="3"/>
    </w:pPr>
    <w:rPr>
      <w:rFonts w:cstheme="majorBidi" w:eastAsiaTheme="majorEastAsia"/>
      <w:b/>
      <w:bCs/>
    </w:rPr>
  </w:style>
  <w:style w:customStyle="1" w:styleId="Heading51" w:type="paragraph">
    <w:name w:val="Heading 51"/>
    <w:basedOn w:val="Normal"/>
    <w:next w:val="BodyText"/>
    <w:uiPriority w:val="9"/>
    <w:unhideWhenUsed/>
    <w:qFormat/>
    <w:rsid w:val="005C31B3"/>
    <w:pPr>
      <w:keepNext/>
      <w:keepLines/>
      <w:spacing w:after="0" w:before="200"/>
      <w:outlineLvl w:val="4"/>
    </w:pPr>
    <w:rPr>
      <w:rFonts w:cstheme="majorBidi" w:eastAsiaTheme="majorEastAsia"/>
      <w:i/>
      <w:iCs/>
      <w:color w:themeColor="accent1" w:val="4F81BD"/>
    </w:rPr>
  </w:style>
  <w:style w:customStyle="1" w:styleId="Heading61" w:type="paragraph">
    <w:name w:val="Heading 61"/>
    <w:basedOn w:val="Normal"/>
    <w:next w:val="BodyText"/>
    <w:uiPriority w:val="9"/>
    <w:unhideWhenUsed/>
    <w:qFormat/>
    <w:rsid w:val="005C31B3"/>
    <w:pPr>
      <w:keepNext/>
      <w:keepLines/>
      <w:spacing w:after="0" w:before="200"/>
      <w:outlineLvl w:val="5"/>
    </w:pPr>
    <w:rPr>
      <w:rFonts w:cstheme="majorBidi" w:eastAsiaTheme="majorEastAsia"/>
      <w:color w:themeColor="accent1" w:val="4F81BD"/>
    </w:rPr>
  </w:style>
  <w:style w:styleId="BlockText" w:type="paragraph">
    <w:name w:val="Block Text"/>
    <w:basedOn w:val="BodyText"/>
    <w:next w:val="BodyText"/>
    <w:uiPriority w:val="9"/>
    <w:unhideWhenUsed/>
    <w:qFormat/>
    <w:rsid w:val="001A5D21"/>
    <w:pPr>
      <w:spacing w:after="100" w:before="100"/>
      <w:ind w:left="1134" w:right="1134"/>
    </w:pPr>
    <w:rPr>
      <w:rFonts w:cstheme="majorBidi" w:eastAsiaTheme="majorEastAsia"/>
      <w:bCs/>
      <w:sz w:val="22"/>
      <w:szCs w:val="20"/>
    </w:rPr>
  </w:style>
  <w:style w:customStyle="1" w:styleId="FootnoteText1" w:type="paragraph">
    <w:name w:val="Footnote Text1"/>
    <w:basedOn w:val="Normal"/>
    <w:uiPriority w:val="9"/>
    <w:unhideWhenUsed/>
    <w:qFormat/>
    <w:rsid w:val="00775FC3"/>
    <w:pPr>
      <w:jc w:val="left"/>
    </w:pPr>
    <w:rPr>
      <w:sz w:val="20"/>
    </w:rPr>
  </w:style>
  <w:style w:customStyle="1" w:styleId="DefinitionTerm" w:type="paragraph">
    <w:name w:val="Definition Term"/>
    <w:basedOn w:val="Normal"/>
    <w:next w:val="Definition"/>
    <w:rsid w:val="005C31B3"/>
    <w:pPr>
      <w:keepNext/>
      <w:keepLines/>
      <w:spacing w:after="0"/>
    </w:pPr>
    <w:rPr>
      <w:b/>
    </w:rPr>
  </w:style>
  <w:style w:customStyle="1" w:styleId="Definition" w:type="paragraph">
    <w:name w:val="Definition"/>
    <w:basedOn w:val="Normal"/>
    <w:rsid w:val="005C31B3"/>
  </w:style>
  <w:style w:customStyle="1" w:styleId="Caption1" w:type="paragraph">
    <w:name w:val="Caption1"/>
    <w:basedOn w:val="Normal"/>
    <w:link w:val="TextoindependienteCar"/>
    <w:rsid w:val="005C31B3"/>
    <w:pPr>
      <w:spacing w:after="120"/>
    </w:pPr>
    <w:rPr>
      <w:i/>
    </w:rPr>
  </w:style>
  <w:style w:customStyle="1" w:styleId="TableCaption" w:type="paragraph">
    <w:name w:val="Table Caption"/>
    <w:basedOn w:val="Caption1"/>
    <w:rsid w:val="005C31B3"/>
    <w:pPr>
      <w:keepNext/>
    </w:pPr>
  </w:style>
  <w:style w:customStyle="1" w:styleId="ImageCaption" w:type="paragraph">
    <w:name w:val="Image Caption"/>
    <w:basedOn w:val="Caption1"/>
    <w:rsid w:val="005C31B3"/>
  </w:style>
  <w:style w:customStyle="1" w:styleId="Figure" w:type="paragraph">
    <w:name w:val="Figure"/>
    <w:basedOn w:val="Normal"/>
    <w:rsid w:val="005C31B3"/>
  </w:style>
  <w:style w:customStyle="1" w:styleId="FigurewithCaption" w:type="paragraph">
    <w:name w:val="Figure with Caption"/>
    <w:basedOn w:val="Figure"/>
    <w:rsid w:val="005C31B3"/>
    <w:pPr>
      <w:keepNext/>
    </w:pPr>
  </w:style>
  <w:style w:customStyle="1" w:styleId="TextoindependienteCar" w:type="character">
    <w:name w:val="Texto independiente Car"/>
    <w:basedOn w:val="DefaultParagraphFont"/>
    <w:link w:val="Caption1"/>
    <w:rsid w:val="001A5D21"/>
    <w:rPr>
      <w:rFonts w:ascii="ChaletBook" w:hAnsi="ChaletBook"/>
    </w:rPr>
  </w:style>
  <w:style w:customStyle="1" w:styleId="VerbatimChar" w:type="character">
    <w:name w:val="Verbatim Char"/>
    <w:basedOn w:val="TextoindependienteCar"/>
    <w:link w:val="SourceCode"/>
    <w:rsid w:val="005C31B3"/>
    <w:rPr>
      <w:rFonts w:ascii="Consolas" w:hAnsi="Consolas"/>
      <w:sz w:val="22"/>
    </w:rPr>
  </w:style>
  <w:style w:customStyle="1" w:styleId="FootnoteReference1" w:type="character">
    <w:name w:val="Footnote Reference1"/>
    <w:basedOn w:val="TextoindependienteCar"/>
    <w:rsid w:val="005C31B3"/>
    <w:rPr>
      <w:rFonts w:ascii="ChaletBook" w:hAnsi="ChaletBook"/>
      <w:vertAlign w:val="superscript"/>
    </w:rPr>
  </w:style>
  <w:style w:styleId="Hyperlink" w:type="character">
    <w:name w:val="Hyperlink"/>
    <w:basedOn w:val="TextoindependienteCar"/>
    <w:rsid w:val="005C31B3"/>
    <w:rPr>
      <w:rFonts w:ascii="ChaletBook" w:hAnsi="ChaletBook"/>
      <w:color w:themeColor="accent1" w:val="4F81BD"/>
    </w:rPr>
  </w:style>
  <w:style w:styleId="TOCHeading" w:type="paragraph">
    <w:name w:val="TOC Heading"/>
    <w:basedOn w:val="Heading11"/>
    <w:next w:val="BodyText"/>
    <w:uiPriority w:val="39"/>
    <w:unhideWhenUsed/>
    <w:qFormat/>
    <w:rsid w:val="005C31B3"/>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rsid w:val="005C31B3"/>
    <w:pPr>
      <w:wordWrap w:val="0"/>
    </w:pPr>
  </w:style>
  <w:style w:customStyle="1" w:styleId="KeywordTok" w:type="character">
    <w:name w:val="KeywordTok"/>
    <w:basedOn w:val="VerbatimChar"/>
    <w:rsid w:val="005C31B3"/>
    <w:rPr>
      <w:rFonts w:ascii="Consolas" w:hAnsi="Consolas"/>
      <w:b/>
      <w:color w:val="007020"/>
      <w:sz w:val="22"/>
    </w:rPr>
  </w:style>
  <w:style w:customStyle="1" w:styleId="DataTypeTok" w:type="character">
    <w:name w:val="DataTypeTok"/>
    <w:basedOn w:val="VerbatimChar"/>
    <w:rsid w:val="005C31B3"/>
    <w:rPr>
      <w:rFonts w:ascii="Consolas" w:hAnsi="Consolas"/>
      <w:color w:val="902000"/>
      <w:sz w:val="22"/>
    </w:rPr>
  </w:style>
  <w:style w:customStyle="1" w:styleId="DecValTok" w:type="character">
    <w:name w:val="DecValTok"/>
    <w:basedOn w:val="VerbatimChar"/>
    <w:rsid w:val="005C31B3"/>
    <w:rPr>
      <w:rFonts w:ascii="Consolas" w:hAnsi="Consolas"/>
      <w:color w:val="40A070"/>
      <w:sz w:val="22"/>
    </w:rPr>
  </w:style>
  <w:style w:customStyle="1" w:styleId="BaseNTok" w:type="character">
    <w:name w:val="BaseNTok"/>
    <w:basedOn w:val="VerbatimChar"/>
    <w:rsid w:val="005C31B3"/>
    <w:rPr>
      <w:rFonts w:ascii="Consolas" w:hAnsi="Consolas"/>
      <w:color w:val="40A070"/>
      <w:sz w:val="22"/>
    </w:rPr>
  </w:style>
  <w:style w:customStyle="1" w:styleId="FloatTok" w:type="character">
    <w:name w:val="FloatTok"/>
    <w:basedOn w:val="VerbatimChar"/>
    <w:rsid w:val="005C31B3"/>
    <w:rPr>
      <w:rFonts w:ascii="Consolas" w:hAnsi="Consolas"/>
      <w:color w:val="40A070"/>
      <w:sz w:val="22"/>
    </w:rPr>
  </w:style>
  <w:style w:customStyle="1" w:styleId="ConstantTok" w:type="character">
    <w:name w:val="ConstantTok"/>
    <w:basedOn w:val="VerbatimChar"/>
    <w:rsid w:val="005C31B3"/>
    <w:rPr>
      <w:rFonts w:ascii="Consolas" w:hAnsi="Consolas"/>
      <w:color w:val="880000"/>
      <w:sz w:val="22"/>
    </w:rPr>
  </w:style>
  <w:style w:customStyle="1" w:styleId="CharTok" w:type="character">
    <w:name w:val="CharTok"/>
    <w:basedOn w:val="VerbatimChar"/>
    <w:rsid w:val="005C31B3"/>
    <w:rPr>
      <w:rFonts w:ascii="Consolas" w:hAnsi="Consolas"/>
      <w:color w:val="4070A0"/>
      <w:sz w:val="22"/>
    </w:rPr>
  </w:style>
  <w:style w:customStyle="1" w:styleId="SpecialCharTok" w:type="character">
    <w:name w:val="SpecialCharTok"/>
    <w:basedOn w:val="VerbatimChar"/>
    <w:rsid w:val="005C31B3"/>
    <w:rPr>
      <w:rFonts w:ascii="Consolas" w:hAnsi="Consolas"/>
      <w:color w:val="4070A0"/>
      <w:sz w:val="22"/>
    </w:rPr>
  </w:style>
  <w:style w:customStyle="1" w:styleId="StringTok" w:type="character">
    <w:name w:val="StringTok"/>
    <w:basedOn w:val="VerbatimChar"/>
    <w:rsid w:val="005C31B3"/>
    <w:rPr>
      <w:rFonts w:ascii="Consolas" w:hAnsi="Consolas"/>
      <w:color w:val="4070A0"/>
      <w:sz w:val="22"/>
    </w:rPr>
  </w:style>
  <w:style w:customStyle="1" w:styleId="VerbatimStringTok" w:type="character">
    <w:name w:val="VerbatimStringTok"/>
    <w:basedOn w:val="VerbatimChar"/>
    <w:rsid w:val="005C31B3"/>
    <w:rPr>
      <w:rFonts w:ascii="Consolas" w:hAnsi="Consolas"/>
      <w:color w:val="4070A0"/>
      <w:sz w:val="22"/>
    </w:rPr>
  </w:style>
  <w:style w:customStyle="1" w:styleId="SpecialStringTok" w:type="character">
    <w:name w:val="SpecialStringTok"/>
    <w:basedOn w:val="VerbatimChar"/>
    <w:rsid w:val="005C31B3"/>
    <w:rPr>
      <w:rFonts w:ascii="Consolas" w:hAnsi="Consolas"/>
      <w:color w:val="BB6688"/>
      <w:sz w:val="22"/>
    </w:rPr>
  </w:style>
  <w:style w:customStyle="1" w:styleId="ImportTok" w:type="character">
    <w:name w:val="ImportTok"/>
    <w:basedOn w:val="VerbatimChar"/>
    <w:rsid w:val="005C31B3"/>
    <w:rPr>
      <w:rFonts w:ascii="Consolas" w:hAnsi="Consolas"/>
      <w:sz w:val="22"/>
    </w:rPr>
  </w:style>
  <w:style w:customStyle="1" w:styleId="CommentTok" w:type="character">
    <w:name w:val="CommentTok"/>
    <w:basedOn w:val="VerbatimChar"/>
    <w:rsid w:val="005C31B3"/>
    <w:rPr>
      <w:rFonts w:ascii="Consolas" w:hAnsi="Consolas"/>
      <w:i/>
      <w:color w:val="60A0B0"/>
      <w:sz w:val="22"/>
    </w:rPr>
  </w:style>
  <w:style w:customStyle="1" w:styleId="DocumentationTok" w:type="character">
    <w:name w:val="DocumentationTok"/>
    <w:basedOn w:val="VerbatimChar"/>
    <w:rsid w:val="005C31B3"/>
    <w:rPr>
      <w:rFonts w:ascii="Consolas" w:hAnsi="Consolas"/>
      <w:i/>
      <w:color w:val="BA2121"/>
      <w:sz w:val="22"/>
    </w:rPr>
  </w:style>
  <w:style w:customStyle="1" w:styleId="AnnotationTok" w:type="character">
    <w:name w:val="AnnotationTok"/>
    <w:basedOn w:val="VerbatimChar"/>
    <w:rsid w:val="005C31B3"/>
    <w:rPr>
      <w:rFonts w:ascii="Consolas" w:hAnsi="Consolas"/>
      <w:b/>
      <w:i/>
      <w:color w:val="60A0B0"/>
      <w:sz w:val="22"/>
    </w:rPr>
  </w:style>
  <w:style w:customStyle="1" w:styleId="CommentVarTok" w:type="character">
    <w:name w:val="CommentVarTok"/>
    <w:basedOn w:val="VerbatimChar"/>
    <w:rsid w:val="005C31B3"/>
    <w:rPr>
      <w:rFonts w:ascii="Consolas" w:hAnsi="Consolas"/>
      <w:b/>
      <w:i/>
      <w:color w:val="60A0B0"/>
      <w:sz w:val="22"/>
    </w:rPr>
  </w:style>
  <w:style w:customStyle="1" w:styleId="OtherTok" w:type="character">
    <w:name w:val="OtherTok"/>
    <w:basedOn w:val="VerbatimChar"/>
    <w:rsid w:val="005C31B3"/>
    <w:rPr>
      <w:rFonts w:ascii="Consolas" w:hAnsi="Consolas"/>
      <w:color w:val="007020"/>
      <w:sz w:val="22"/>
    </w:rPr>
  </w:style>
  <w:style w:customStyle="1" w:styleId="FunctionTok" w:type="character">
    <w:name w:val="FunctionTok"/>
    <w:basedOn w:val="VerbatimChar"/>
    <w:rsid w:val="005C31B3"/>
    <w:rPr>
      <w:rFonts w:ascii="Consolas" w:hAnsi="Consolas"/>
      <w:color w:val="06287E"/>
      <w:sz w:val="22"/>
    </w:rPr>
  </w:style>
  <w:style w:customStyle="1" w:styleId="VariableTok" w:type="character">
    <w:name w:val="VariableTok"/>
    <w:basedOn w:val="VerbatimChar"/>
    <w:rsid w:val="005C31B3"/>
    <w:rPr>
      <w:rFonts w:ascii="Consolas" w:hAnsi="Consolas"/>
      <w:color w:val="19177C"/>
      <w:sz w:val="22"/>
    </w:rPr>
  </w:style>
  <w:style w:customStyle="1" w:styleId="ControlFlowTok" w:type="character">
    <w:name w:val="ControlFlowTok"/>
    <w:basedOn w:val="VerbatimChar"/>
    <w:rsid w:val="005C31B3"/>
    <w:rPr>
      <w:rFonts w:ascii="Consolas" w:hAnsi="Consolas"/>
      <w:b/>
      <w:color w:val="007020"/>
      <w:sz w:val="22"/>
    </w:rPr>
  </w:style>
  <w:style w:customStyle="1" w:styleId="OperatorTok" w:type="character">
    <w:name w:val="OperatorTok"/>
    <w:basedOn w:val="VerbatimChar"/>
    <w:rsid w:val="005C31B3"/>
    <w:rPr>
      <w:rFonts w:ascii="Consolas" w:hAnsi="Consolas"/>
      <w:color w:val="666666"/>
      <w:sz w:val="22"/>
    </w:rPr>
  </w:style>
  <w:style w:customStyle="1" w:styleId="BuiltInTok" w:type="character">
    <w:name w:val="BuiltInTok"/>
    <w:basedOn w:val="VerbatimChar"/>
    <w:rsid w:val="005C31B3"/>
    <w:rPr>
      <w:rFonts w:ascii="Consolas" w:hAnsi="Consolas"/>
      <w:sz w:val="22"/>
    </w:rPr>
  </w:style>
  <w:style w:customStyle="1" w:styleId="ExtensionTok" w:type="character">
    <w:name w:val="ExtensionTok"/>
    <w:basedOn w:val="VerbatimChar"/>
    <w:rsid w:val="005C31B3"/>
    <w:rPr>
      <w:rFonts w:ascii="Consolas" w:hAnsi="Consolas"/>
      <w:sz w:val="22"/>
    </w:rPr>
  </w:style>
  <w:style w:customStyle="1" w:styleId="PreprocessorTok" w:type="character">
    <w:name w:val="PreprocessorTok"/>
    <w:basedOn w:val="VerbatimChar"/>
    <w:rsid w:val="005C31B3"/>
    <w:rPr>
      <w:rFonts w:ascii="Consolas" w:hAnsi="Consolas"/>
      <w:color w:val="BC7A00"/>
      <w:sz w:val="22"/>
    </w:rPr>
  </w:style>
  <w:style w:customStyle="1" w:styleId="AttributeTok" w:type="character">
    <w:name w:val="AttributeTok"/>
    <w:basedOn w:val="VerbatimChar"/>
    <w:rsid w:val="005C31B3"/>
    <w:rPr>
      <w:rFonts w:ascii="Consolas" w:hAnsi="Consolas"/>
      <w:color w:val="7D9029"/>
      <w:sz w:val="22"/>
    </w:rPr>
  </w:style>
  <w:style w:customStyle="1" w:styleId="RegionMarkerTok" w:type="character">
    <w:name w:val="RegionMarkerTok"/>
    <w:basedOn w:val="VerbatimChar"/>
    <w:rsid w:val="005C31B3"/>
    <w:rPr>
      <w:rFonts w:ascii="Consolas" w:hAnsi="Consolas"/>
      <w:sz w:val="22"/>
    </w:rPr>
  </w:style>
  <w:style w:customStyle="1" w:styleId="InformationTok" w:type="character">
    <w:name w:val="InformationTok"/>
    <w:basedOn w:val="VerbatimChar"/>
    <w:rsid w:val="005C31B3"/>
    <w:rPr>
      <w:rFonts w:ascii="Consolas" w:hAnsi="Consolas"/>
      <w:b/>
      <w:i/>
      <w:color w:val="60A0B0"/>
      <w:sz w:val="22"/>
    </w:rPr>
  </w:style>
  <w:style w:customStyle="1" w:styleId="WarningTok" w:type="character">
    <w:name w:val="WarningTok"/>
    <w:basedOn w:val="VerbatimChar"/>
    <w:rsid w:val="005C31B3"/>
    <w:rPr>
      <w:rFonts w:ascii="Consolas" w:hAnsi="Consolas"/>
      <w:b/>
      <w:i/>
      <w:color w:val="60A0B0"/>
      <w:sz w:val="22"/>
    </w:rPr>
  </w:style>
  <w:style w:customStyle="1" w:styleId="AlertTok" w:type="character">
    <w:name w:val="AlertTok"/>
    <w:basedOn w:val="VerbatimChar"/>
    <w:rsid w:val="005C31B3"/>
    <w:rPr>
      <w:rFonts w:ascii="Consolas" w:hAnsi="Consolas"/>
      <w:b/>
      <w:color w:val="FF0000"/>
      <w:sz w:val="22"/>
    </w:rPr>
  </w:style>
  <w:style w:customStyle="1" w:styleId="ErrorTok" w:type="character">
    <w:name w:val="ErrorTok"/>
    <w:basedOn w:val="VerbatimChar"/>
    <w:rsid w:val="005C31B3"/>
    <w:rPr>
      <w:rFonts w:ascii="Consolas" w:hAnsi="Consolas"/>
      <w:b/>
      <w:color w:val="FF0000"/>
      <w:sz w:val="22"/>
    </w:rPr>
  </w:style>
  <w:style w:customStyle="1" w:styleId="NormalTok" w:type="character">
    <w:name w:val="NormalTok"/>
    <w:basedOn w:val="VerbatimChar"/>
    <w:rsid w:val="005C31B3"/>
    <w:rPr>
      <w:rFonts w:ascii="Consolas" w:hAnsi="Consolas"/>
      <w:sz w:val="22"/>
    </w:rPr>
  </w:style>
  <w:style w:customStyle="1" w:styleId="BodyTextChar" w:type="character">
    <w:name w:val="Body Text Char"/>
    <w:basedOn w:val="DefaultParagraphFont"/>
    <w:link w:val="BodyText"/>
    <w:rsid w:val="001A5D21"/>
    <w:rPr>
      <w:rFonts w:ascii="ChaletBook" w:hAnsi="ChaletBook"/>
    </w:rPr>
  </w:style>
  <w:style w:styleId="Header" w:type="paragraph">
    <w:name w:val="header"/>
    <w:basedOn w:val="Normal"/>
    <w:link w:val="HeaderChar"/>
    <w:rsid w:val="00CB4B1B"/>
    <w:pPr>
      <w:tabs>
        <w:tab w:pos="4252" w:val="center"/>
        <w:tab w:pos="8504" w:val="right"/>
      </w:tabs>
      <w:spacing w:after="0"/>
    </w:pPr>
  </w:style>
  <w:style w:customStyle="1" w:styleId="HeaderChar" w:type="character">
    <w:name w:val="Header Char"/>
    <w:basedOn w:val="DefaultParagraphFont"/>
    <w:link w:val="Header"/>
    <w:rsid w:val="00CB4B1B"/>
    <w:rPr>
      <w:rFonts w:asciiTheme="majorHAnsi" w:hAnsiTheme="majorHAnsi"/>
    </w:rPr>
  </w:style>
  <w:style w:styleId="Footer" w:type="paragraph">
    <w:name w:val="footer"/>
    <w:basedOn w:val="Normal"/>
    <w:link w:val="FooterChar"/>
    <w:uiPriority w:val="99"/>
    <w:rsid w:val="00CB4B1B"/>
    <w:pPr>
      <w:tabs>
        <w:tab w:pos="4252" w:val="center"/>
        <w:tab w:pos="8504" w:val="right"/>
      </w:tabs>
      <w:spacing w:after="0"/>
    </w:pPr>
  </w:style>
  <w:style w:customStyle="1" w:styleId="FooterChar" w:type="character">
    <w:name w:val="Footer Char"/>
    <w:basedOn w:val="DefaultParagraphFont"/>
    <w:link w:val="Footer"/>
    <w:uiPriority w:val="99"/>
    <w:rsid w:val="00CB4B1B"/>
    <w:rPr>
      <w:rFonts w:asciiTheme="majorHAnsi" w:hAnsiTheme="majorHAnsi"/>
    </w:rPr>
  </w:style>
  <w:style w:customStyle="1" w:styleId="Heading1Char" w:type="character">
    <w:name w:val="Heading 1 Char"/>
    <w:basedOn w:val="DefaultParagraphFont"/>
    <w:link w:val="Heading1"/>
    <w:rsid w:val="00DA1215"/>
    <w:rPr>
      <w:rFonts w:asciiTheme="majorHAnsi" w:cstheme="majorBidi" w:eastAsiaTheme="majorEastAsia" w:hAnsiTheme="majorHAnsi"/>
      <w:b/>
      <w:color w:themeColor="text1" w:val="000000"/>
      <w:sz w:val="28"/>
      <w:szCs w:val="32"/>
    </w:rPr>
  </w:style>
  <w:style w:customStyle="1" w:styleId="Heading2Char" w:type="character">
    <w:name w:val="Heading 2 Char"/>
    <w:basedOn w:val="DefaultParagraphFont"/>
    <w:link w:val="Heading2"/>
    <w:rsid w:val="0055165B"/>
    <w:rPr>
      <w:rFonts w:asciiTheme="majorHAnsi" w:cstheme="majorBidi" w:eastAsiaTheme="majorEastAsia" w:hAnsiTheme="majorHAnsi"/>
      <w:b/>
      <w:sz w:val="26"/>
      <w:szCs w:val="26"/>
    </w:rPr>
  </w:style>
  <w:style w:customStyle="1" w:styleId="Heading3Char" w:type="character">
    <w:name w:val="Heading 3 Char"/>
    <w:basedOn w:val="DefaultParagraphFont"/>
    <w:link w:val="Heading3"/>
    <w:rsid w:val="0055165B"/>
    <w:rPr>
      <w:rFonts w:asciiTheme="majorHAnsi" w:cstheme="majorBidi" w:eastAsiaTheme="majorEastAsia" w:hAnsiTheme="majorHAnsi"/>
      <w:b/>
    </w:rPr>
  </w:style>
  <w:style w:styleId="FootnoteText" w:type="paragraph">
    <w:name w:val="footnote text"/>
    <w:basedOn w:val="Normal"/>
    <w:link w:val="FootnoteTextChar"/>
    <w:unhideWhenUsed/>
    <w:rsid w:val="00687CD0"/>
    <w:pPr>
      <w:spacing w:after="0"/>
    </w:pPr>
    <w:rPr>
      <w:sz w:val="20"/>
      <w:szCs w:val="20"/>
    </w:rPr>
  </w:style>
  <w:style w:customStyle="1" w:styleId="FootnoteTextChar" w:type="character">
    <w:name w:val="Footnote Text Char"/>
    <w:basedOn w:val="DefaultParagraphFont"/>
    <w:link w:val="FootnoteText"/>
    <w:rsid w:val="00687CD0"/>
    <w:rPr>
      <w:rFonts w:asciiTheme="majorHAnsi" w:hAnsiTheme="majorHAnsi"/>
      <w:sz w:val="20"/>
      <w:szCs w:val="20"/>
    </w:rPr>
  </w:style>
  <w:style w:styleId="FootnoteReference" w:type="character">
    <w:name w:val="footnote reference"/>
    <w:basedOn w:val="DefaultParagraphFont"/>
    <w:unhideWhenUsed/>
    <w:rsid w:val="00687C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hyperlink" Id="rId36" Target="http://servicios.infoleg.gob.ar/infolegInternet/verNorma.do;jsessionid=49E37248395838D0BB7E2DF255C5EC11?id=338960" TargetMode="External" /><Relationship Type="http://schemas.openxmlformats.org/officeDocument/2006/relationships/hyperlink" Id="rId60" Target="http://www.corteconstitucional.gov.co/relatoria/2010/c-141-10.htm" TargetMode="External" /><Relationship Type="http://schemas.openxmlformats.org/officeDocument/2006/relationships/hyperlink" Id="rId25" Target="http://www.jstor.org/stable/27896713" TargetMode="External" /><Relationship Type="http://schemas.openxmlformats.org/officeDocument/2006/relationships/hyperlink" Id="rId50" Target="http://www.saij.gob.ar/estafa-ardid-engano-hurto-su33000928/123456789-0abc-defg8290-0033soiramus?&amp;o=0&amp;f=Total%7CFecha%7CEstado%20de%20Vigencia%5B5%2C1%5D%7CTema%5B5%2C1%5D%7COrganismo%5B5%2C1%5D%7CAutor%5B5%2C1%5D%7CJurisdicci%F3n/Federal%7CTribunal%5B5%2C1%5D%7CPublicaci%F3n%5B5%2C1%5D%7CColecci%F3n%20tem%E1tica%5B5%2C1%5D%7CTipo%20de%20Documento/Jurisprudencia&amp;t=169634" TargetMode="External" /><Relationship Type="http://schemas.openxmlformats.org/officeDocument/2006/relationships/hyperlink" Id="rId24" Target="http://www.scielo.br/scielo.php?script=sci_abstract&amp;pid=S0102-64452007000100007&amp;lng=en&amp;nrm=iso&amp;tlng=pt" TargetMode="External" /><Relationship Type="http://schemas.openxmlformats.org/officeDocument/2006/relationships/hyperlink" Id="rId30" Target="http://www.sciencemag.org/lookup/doi/10.1126/science.aao2998" TargetMode="External" /><Relationship Type="http://schemas.openxmlformats.org/officeDocument/2006/relationships/hyperlink" Id="rId40" Target="http://www.senado.gov.ar/parlamentario/comisiones/verExp/3878.15/S/PL" TargetMode="External" /><Relationship Type="http://schemas.openxmlformats.org/officeDocument/2006/relationships/hyperlink" Id="rId67" Target="https://doi.org/10.2139/ssrn.5161173" TargetMode="External" /><Relationship Type="http://schemas.openxmlformats.org/officeDocument/2006/relationships/hyperlink" Id="rId58" Target="https://hudoc.echr.coe.int/eng#{%22fulltext%22:[%22tolstoy%22],%22documentcollectionid2%22:[%22GRANDCHAMBER%22,%22CHAMBER%22],%22itemid%22:[%22001-57947%22]}" TargetMode="External" /><Relationship Type="http://schemas.openxmlformats.org/officeDocument/2006/relationships/hyperlink" Id="rId28" Target="https://ramiroau.github.io/blog/pandemia/" TargetMode="External" /><Relationship Type="http://schemas.openxmlformats.org/officeDocument/2006/relationships/hyperlink" Id="rId33" Target="https://www.boletinoficial.gob.ar/detalleAviso/primera/239807/20210115" TargetMode="External" /><Relationship Type="http://schemas.openxmlformats.org/officeDocument/2006/relationships/hyperlink" Id="rId54" Target="https://www.cij.gov.ar/nota-37131-Resoluci-n-de-la-Sala-I-de-la-C-mara-Nacional-de-Apelaciones-en-lo-Contencioso-Administrativo-Federal-en-causa-37747-2013--GIUSTINIANI---RUBEN-HECTOR-c--YPF-SA-s--AMPARO-POR-MORA-.html" TargetMode="External" /><Relationship Type="http://schemas.openxmlformats.org/officeDocument/2006/relationships/hyperlink" Id="rId46" Target="https://www.cij.gov.ar/nota-37179-La-Corte-dict--sentencia-en-la-causa--Fern-ndez-de-Kirchner--Cristina-en-car-cter-de-Presidenta-del-Honorable-Senado-de-la-Naci-n-s--acci-n-declarativa-de-certeza-.html" TargetMode="External" /><Relationship Type="http://schemas.openxmlformats.org/officeDocument/2006/relationships/hyperlink" Id="rId52" Target="https://www.eldial.com/nuevo/lite-jurisprudencia-detalle.asp?base=14&amp;id=52021&amp;t=j&amp;h=u" TargetMode="External" /><Relationship Type="http://schemas.openxmlformats.org/officeDocument/2006/relationships/hyperlink" Id="rId38" Target="https://www.tresarroyos.gov.ar/recursos/boletin_oficial/ordenanzas/2019/2019-O-7227.pdf" TargetMode="External" /></Relationships>
</file>

<file path=word/_rels/footnotes.xml.rels><?xml version="1.0" encoding="UTF-8"?><Relationships xmlns="http://schemas.openxmlformats.org/package/2006/relationships"><Relationship Type="http://schemas.openxmlformats.org/officeDocument/2006/relationships/hyperlink" Id="rId36" Target="http://servicios.infoleg.gob.ar/infolegInternet/verNorma.do;jsessionid=49E37248395838D0BB7E2DF255C5EC11?id=338960" TargetMode="External" /><Relationship Type="http://schemas.openxmlformats.org/officeDocument/2006/relationships/hyperlink" Id="rId60" Target="http://www.corteconstitucional.gov.co/relatoria/2010/c-141-10.htm" TargetMode="External" /><Relationship Type="http://schemas.openxmlformats.org/officeDocument/2006/relationships/hyperlink" Id="rId25" Target="http://www.jstor.org/stable/27896713" TargetMode="External" /><Relationship Type="http://schemas.openxmlformats.org/officeDocument/2006/relationships/hyperlink" Id="rId50" Target="http://www.saij.gob.ar/estafa-ardid-engano-hurto-su33000928/123456789-0abc-defg8290-0033soiramus?&amp;o=0&amp;f=Total%7CFecha%7CEstado%20de%20Vigencia%5B5%2C1%5D%7CTema%5B5%2C1%5D%7COrganismo%5B5%2C1%5D%7CAutor%5B5%2C1%5D%7CJurisdicci%F3n/Federal%7CTribunal%5B5%2C1%5D%7CPublicaci%F3n%5B5%2C1%5D%7CColecci%F3n%20tem%E1tica%5B5%2C1%5D%7CTipo%20de%20Documento/Jurisprudencia&amp;t=169634" TargetMode="External" /><Relationship Type="http://schemas.openxmlformats.org/officeDocument/2006/relationships/hyperlink" Id="rId24" Target="http://www.scielo.br/scielo.php?script=sci_abstract&amp;pid=S0102-64452007000100007&amp;lng=en&amp;nrm=iso&amp;tlng=pt" TargetMode="External" /><Relationship Type="http://schemas.openxmlformats.org/officeDocument/2006/relationships/hyperlink" Id="rId30" Target="http://www.sciencemag.org/lookup/doi/10.1126/science.aao2998" TargetMode="External" /><Relationship Type="http://schemas.openxmlformats.org/officeDocument/2006/relationships/hyperlink" Id="rId40" Target="http://www.senado.gov.ar/parlamentario/comisiones/verExp/3878.15/S/PL" TargetMode="External" /><Relationship Type="http://schemas.openxmlformats.org/officeDocument/2006/relationships/hyperlink" Id="rId67" Target="https://doi.org/10.2139/ssrn.5161173" TargetMode="External" /><Relationship Type="http://schemas.openxmlformats.org/officeDocument/2006/relationships/hyperlink" Id="rId58" Target="https://hudoc.echr.coe.int/eng#{%22fulltext%22:[%22tolstoy%22],%22documentcollectionid2%22:[%22GRANDCHAMBER%22,%22CHAMBER%22],%22itemid%22:[%22001-57947%22]}" TargetMode="External" /><Relationship Type="http://schemas.openxmlformats.org/officeDocument/2006/relationships/hyperlink" Id="rId28" Target="https://ramiroau.github.io/blog/pandemia/" TargetMode="External" /><Relationship Type="http://schemas.openxmlformats.org/officeDocument/2006/relationships/hyperlink" Id="rId33" Target="https://www.boletinoficial.gob.ar/detalleAviso/primera/239807/20210115" TargetMode="External" /><Relationship Type="http://schemas.openxmlformats.org/officeDocument/2006/relationships/hyperlink" Id="rId54" Target="https://www.cij.gov.ar/nota-37131-Resoluci-n-de-la-Sala-I-de-la-C-mara-Nacional-de-Apelaciones-en-lo-Contencioso-Administrativo-Federal-en-causa-37747-2013--GIUSTINIANI---RUBEN-HECTOR-c--YPF-SA-s--AMPARO-POR-MORA-.html" TargetMode="External" /><Relationship Type="http://schemas.openxmlformats.org/officeDocument/2006/relationships/hyperlink" Id="rId46" Target="https://www.cij.gov.ar/nota-37179-La-Corte-dict--sentencia-en-la-causa--Fern-ndez-de-Kirchner--Cristina-en-car-cter-de-Presidenta-del-Honorable-Senado-de-la-Naci-n-s--acci-n-declarativa-de-certeza-.html" TargetMode="External" /><Relationship Type="http://schemas.openxmlformats.org/officeDocument/2006/relationships/hyperlink" Id="rId52" Target="https://www.eldial.com/nuevo/lite-jurisprudencia-detalle.asp?base=14&amp;id=52021&amp;t=j&amp;h=u" TargetMode="External" /><Relationship Type="http://schemas.openxmlformats.org/officeDocument/2006/relationships/hyperlink" Id="rId38" Target="https://www.tresarroyos.gov.ar/recursos/boletin_oficial/ordenanzas/2019/2019-O-7227.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2647</Words>
  <Characters>15088</Characters>
  <Application>Microsoft Office Word</Application>
  <DocSecurity>0</DocSecurity>
  <Lines>125</Lines>
  <Paragraphs>35</Paragraphs>
  <ScaleCrop>false</ScaleCrop>
  <Company/>
  <LinksUpToDate>false</LinksUpToDate>
  <CharactersWithSpaces>17700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Ejemplo de Guía Argentina de Citas Legales</dc:title>
  <dc:creator/>
  <cp:keywords/>
  <dcterms:created xsi:type="dcterms:W3CDTF">2025-03-12T13:37:45Z</dcterms:created>
  <dcterms:modified xsi:type="dcterms:W3CDTF">2025-03-12T13:37:45Z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test.json</vt:lpwstr>
  </property>
  <property fmtid="{D5CDD505-2E9C-101B-9397-08002B2CF9AE}" pid="3" name="csl">
    <vt:lpwstr>/Users/ramiroalvarezugarte/Dropbox/Templates/csl/guia-argentina-de-citas-legales.csl</vt:lpwstr>
  </property>
  <property fmtid="{D5CDD505-2E9C-101B-9397-08002B2CF9AE}" pid="4" name="date">
    <vt:lpwstr>20 de octubre de 2022</vt:lpwstr>
  </property>
  <property fmtid="{D5CDD505-2E9C-101B-9397-08002B2CF9AE}" pid="5" name="documentclass">
    <vt:lpwstr>scrartcl</vt:lpwstr>
  </property>
  <property fmtid="{D5CDD505-2E9C-101B-9397-08002B2CF9AE}" pid="6" name="fig_height">
    <vt:lpwstr>1</vt:lpwstr>
  </property>
  <property fmtid="{D5CDD505-2E9C-101B-9397-08002B2CF9AE}" pid="7" name="fig_width">
    <vt:lpwstr>1</vt:lpwstr>
  </property>
  <property fmtid="{D5CDD505-2E9C-101B-9397-08002B2CF9AE}" pid="8" name="fontsize">
    <vt:lpwstr>14pt</vt:lpwstr>
  </property>
  <property fmtid="{D5CDD505-2E9C-101B-9397-08002B2CF9AE}" pid="9" name="number-sections">
    <vt:lpwstr>False</vt:lpwstr>
  </property>
  <property fmtid="{D5CDD505-2E9C-101B-9397-08002B2CF9AE}" pid="10" name="output">
    <vt:lpwstr/>
  </property>
  <property fmtid="{D5CDD505-2E9C-101B-9397-08002B2CF9AE}" pid="11" name="subtitle">
    <vt:lpwstr>Texto ejemplificativo (v 2.0)</vt:lpwstr>
  </property>
  <property fmtid="{D5CDD505-2E9C-101B-9397-08002B2CF9AE}" pid="12" name="suppress-bibliography">
    <vt:lpwstr>True</vt:lpwstr>
  </property>
  <property fmtid="{D5CDD505-2E9C-101B-9397-08002B2CF9AE}" pid="13" name="toc">
    <vt:lpwstr>False</vt:lpwstr>
  </property>
</Properties>
</file>