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E572E" w:rsidRDefault="00125ED1">
      <w:pPr>
        <w:spacing w:after="220" w:line="384" w:lineRule="auto"/>
        <w:rPr>
          <w:sz w:val="21"/>
          <w:szCs w:val="21"/>
        </w:rPr>
      </w:pPr>
      <w:r>
        <w:rPr>
          <w:sz w:val="21"/>
          <w:szCs w:val="21"/>
        </w:rPr>
        <w:t>title: Harrison, 2011(b) date: 2020-06-08 description: Notas author: LKG</w:t>
      </w:r>
    </w:p>
    <w:p w14:paraId="00000002" w14:textId="77777777" w:rsidR="009E572E" w:rsidRDefault="00125ED1">
      <w:pPr>
        <w:pStyle w:val="Heading2"/>
        <w:keepNext w:val="0"/>
        <w:keepLines w:val="0"/>
        <w:pBdr>
          <w:top w:val="none" w:sz="0" w:space="6" w:color="auto"/>
        </w:pBdr>
        <w:spacing w:before="0" w:after="40" w:line="384" w:lineRule="auto"/>
        <w:rPr>
          <w:b/>
          <w:sz w:val="30"/>
          <w:szCs w:val="30"/>
        </w:rPr>
      </w:pPr>
      <w:bookmarkStart w:id="0" w:name="_9aaqmtqu6euo" w:colFirst="0" w:colLast="0"/>
      <w:bookmarkEnd w:id="0"/>
      <w:r>
        <w:rPr>
          <w:b/>
          <w:sz w:val="30"/>
          <w:szCs w:val="30"/>
        </w:rPr>
        <w:t>type: page</w:t>
      </w:r>
    </w:p>
    <w:p w14:paraId="00000003" w14:textId="77777777" w:rsidR="009E572E" w:rsidRDefault="00125ED1">
      <w:r>
        <w:t>James Harrison- ‘Measuring Human Rights: Reflections on the Practice of Human Rights Impact Assessment and Lessons for the Future</w:t>
      </w:r>
    </w:p>
    <w:p w14:paraId="00000004" w14:textId="77777777" w:rsidR="009E572E" w:rsidRDefault="00125ED1">
      <w:pPr>
        <w:numPr>
          <w:ilvl w:val="0"/>
          <w:numId w:val="2"/>
        </w:numPr>
      </w:pPr>
      <w:r>
        <w:t>HRIAs becoming “an increasingly widely adopted tool to measure human rights impacts in a wide variety of fields; from developm</w:t>
      </w:r>
      <w:r>
        <w:t>ent projects to activities of multinational corporations, from trade agreements to activities of public authorities…”</w:t>
      </w:r>
    </w:p>
    <w:p w14:paraId="00000005" w14:textId="77777777" w:rsidR="009E572E" w:rsidRDefault="00125ED1">
      <w:pPr>
        <w:numPr>
          <w:ilvl w:val="0"/>
          <w:numId w:val="2"/>
        </w:numPr>
      </w:pPr>
      <w:r>
        <w:t xml:space="preserve">The development of HRIA instruments started in late 1990s: </w:t>
      </w:r>
    </w:p>
    <w:p w14:paraId="00000006" w14:textId="77777777" w:rsidR="009E572E" w:rsidRDefault="00125ED1">
      <w:pPr>
        <w:numPr>
          <w:ilvl w:val="1"/>
          <w:numId w:val="2"/>
        </w:numPr>
      </w:pPr>
      <w:r>
        <w:t>1997: call to mainstream human rights work in the UN led to a rights-based app</w:t>
      </w:r>
      <w:r>
        <w:t xml:space="preserve">roach to development, so more efforts were put by different dev orgs like UNDP to measure human rights impact. </w:t>
      </w:r>
    </w:p>
    <w:p w14:paraId="00000007" w14:textId="77777777" w:rsidR="009E572E" w:rsidRDefault="00125ED1">
      <w:pPr>
        <w:numPr>
          <w:ilvl w:val="1"/>
          <w:numId w:val="2"/>
        </w:numPr>
      </w:pPr>
      <w:r>
        <w:t>Secondly, human rights assessment developed as an independent extension of social impact assessment (before being recognized as an autonomous pr</w:t>
      </w:r>
      <w:r>
        <w:t xml:space="preserve">ocess). </w:t>
      </w:r>
    </w:p>
    <w:p w14:paraId="00000008" w14:textId="77777777" w:rsidR="009E572E" w:rsidRDefault="00125ED1">
      <w:pPr>
        <w:numPr>
          <w:ilvl w:val="1"/>
          <w:numId w:val="2"/>
        </w:numPr>
      </w:pPr>
      <w:r>
        <w:t>Third, suggested as a tool to monitor and improve work in other fields (especially healthcare policies).</w:t>
      </w:r>
    </w:p>
    <w:p w14:paraId="00000009" w14:textId="77777777" w:rsidR="009E572E" w:rsidRDefault="00125ED1">
      <w:pPr>
        <w:numPr>
          <w:ilvl w:val="0"/>
          <w:numId w:val="2"/>
        </w:numPr>
      </w:pPr>
      <w:r>
        <w:t>Identifies six forms of HRIAs</w:t>
      </w:r>
    </w:p>
    <w:p w14:paraId="0000000A" w14:textId="77777777" w:rsidR="009E572E" w:rsidRDefault="00125ED1">
      <w:pPr>
        <w:numPr>
          <w:ilvl w:val="1"/>
          <w:numId w:val="2"/>
        </w:numPr>
      </w:pPr>
      <w:r>
        <w:t>HRIA in development (Dutch government)</w:t>
      </w:r>
    </w:p>
    <w:p w14:paraId="0000000B" w14:textId="77777777" w:rsidR="009E572E" w:rsidRDefault="00125ED1">
      <w:pPr>
        <w:numPr>
          <w:ilvl w:val="1"/>
          <w:numId w:val="2"/>
        </w:numPr>
      </w:pPr>
      <w:r>
        <w:t>Heath and human rights (advocated by Paul Hunt as SR on the right to heat</w:t>
      </w:r>
      <w:r>
        <w:t>h, but also original pioneers were  Aim for Human Rights who developed the Health Rights of Women Assessment Instrument (HeRWAI))</w:t>
      </w:r>
    </w:p>
    <w:p w14:paraId="0000000C" w14:textId="77777777" w:rsidR="009E572E" w:rsidRDefault="00125ED1">
      <w:pPr>
        <w:numPr>
          <w:ilvl w:val="1"/>
          <w:numId w:val="2"/>
        </w:numPr>
      </w:pPr>
      <w:r>
        <w:t>Child rights: UNICEF has created a guideline</w:t>
      </w:r>
    </w:p>
    <w:p w14:paraId="0000000D" w14:textId="77777777" w:rsidR="009E572E" w:rsidRDefault="00125ED1">
      <w:pPr>
        <w:numPr>
          <w:ilvl w:val="1"/>
          <w:numId w:val="2"/>
        </w:numPr>
      </w:pPr>
      <w:r>
        <w:t>International trade (first one:Thailand-US Free Trade Agreement, then HRIAs under</w:t>
      </w:r>
      <w:r>
        <w:t>taken by FIAN (FoodFirst Information and Action Network) in Honduras among others,  HRIA of the impact of the intellectual property provisions of the Central American Free Trade Agreement (CAFTA), and  HRIA of the impact of the intellectual property provis</w:t>
      </w:r>
      <w:r>
        <w:t>ions of the Central American Free Trade Agreement (CAFTA)</w:t>
      </w:r>
    </w:p>
    <w:p w14:paraId="0000000E" w14:textId="77777777" w:rsidR="009E572E" w:rsidRDefault="00125ED1">
      <w:pPr>
        <w:numPr>
          <w:ilvl w:val="1"/>
          <w:numId w:val="2"/>
        </w:numPr>
      </w:pPr>
      <w:r>
        <w:t>Public figures (UK where such assessments have been undertaken alongside the more long-standing Equality Impact Assessments (EIAs))</w:t>
      </w:r>
    </w:p>
    <w:p w14:paraId="0000000F" w14:textId="77777777" w:rsidR="009E572E" w:rsidRDefault="00125ED1">
      <w:pPr>
        <w:numPr>
          <w:ilvl w:val="1"/>
          <w:numId w:val="2"/>
        </w:numPr>
      </w:pPr>
      <w:r>
        <w:t>Multinational corporations: one of the main areas of work of SR Ru</w:t>
      </w:r>
      <w:r>
        <w:t>ggie. Ruggie identified HRIAs as a key component of this due diligence, but did not define how an HRIA should be conducted. Cited examples such as:</w:t>
      </w:r>
    </w:p>
    <w:p w14:paraId="00000010" w14:textId="77777777" w:rsidR="009E572E" w:rsidRDefault="00125ED1">
      <w:pPr>
        <w:numPr>
          <w:ilvl w:val="2"/>
          <w:numId w:val="2"/>
        </w:numPr>
      </w:pPr>
      <w:r>
        <w:t xml:space="preserve">HRIA commissioned by BP of their Proposed Tangguh LNG Project  </w:t>
      </w:r>
    </w:p>
    <w:p w14:paraId="00000011" w14:textId="77777777" w:rsidR="009E572E" w:rsidRDefault="00125ED1">
      <w:pPr>
        <w:numPr>
          <w:ilvl w:val="2"/>
          <w:numId w:val="2"/>
        </w:numPr>
      </w:pPr>
      <w:r>
        <w:t xml:space="preserve">Guide to Human Rights Impact Assessment and </w:t>
      </w:r>
      <w:r>
        <w:t>Management produced by the International Business Leaders Forum and International Finance Corporation</w:t>
      </w:r>
    </w:p>
    <w:p w14:paraId="00000012" w14:textId="21AF5B2D" w:rsidR="009E572E" w:rsidRDefault="00125ED1">
      <w:pPr>
        <w:numPr>
          <w:ilvl w:val="2"/>
          <w:numId w:val="2"/>
        </w:numPr>
      </w:pPr>
      <w:r>
        <w:t>methodology for conducting HRIAs developed by the organisation Nomogaia (</w:t>
      </w:r>
      <w:r w:rsidRPr="00125ED1">
        <w:t>Dole’s El Muelle plantation in Costa Rica</w:t>
      </w:r>
      <w:r>
        <w:t>)</w:t>
      </w:r>
    </w:p>
    <w:p w14:paraId="00000013" w14:textId="77777777" w:rsidR="009E572E" w:rsidRDefault="00125ED1">
      <w:pPr>
        <w:numPr>
          <w:ilvl w:val="2"/>
          <w:numId w:val="2"/>
        </w:numPr>
      </w:pPr>
      <w:r>
        <w:t xml:space="preserve"> Human Rights Compliance Assessment (HRCA) model produced by the Danish Institute </w:t>
      </w:r>
      <w:r>
        <w:t xml:space="preserve">for Human Rights. It is a rather different instrument and perhaps should not be considered a form of HRIA as it is using a different nomenclature, it is a private form of assessment and is available only to </w:t>
      </w:r>
      <w:r>
        <w:lastRenderedPageBreak/>
        <w:t>companies who pay a subscription fee (They mentio</w:t>
      </w:r>
      <w:r>
        <w:t>n that they have conducted over 15 HRIA with ICT companies)</w:t>
      </w:r>
    </w:p>
    <w:p w14:paraId="00000014" w14:textId="77777777" w:rsidR="009E572E" w:rsidRDefault="00125ED1">
      <w:pPr>
        <w:numPr>
          <w:ilvl w:val="2"/>
          <w:numId w:val="2"/>
        </w:numPr>
      </w:pPr>
      <w:r>
        <w:t>Community HRIA Guide for Foreign Investment Projects produced by Rights and Democracy. One example of this form of community-led HRIA in Tamir and Zoen (2017),but also has been used in Argentina a</w:t>
      </w:r>
      <w:r>
        <w:t>nd Peru</w:t>
      </w:r>
    </w:p>
    <w:p w14:paraId="00000015" w14:textId="77777777" w:rsidR="009E572E" w:rsidRDefault="00125ED1">
      <w:pPr>
        <w:numPr>
          <w:ilvl w:val="2"/>
          <w:numId w:val="2"/>
        </w:numPr>
      </w:pPr>
      <w:r>
        <w:t>Another published assessment of Goldcorp’s Marlin mine in Guatemala</w:t>
      </w:r>
    </w:p>
    <w:p w14:paraId="00000016" w14:textId="77777777" w:rsidR="009E572E" w:rsidRDefault="00125ED1">
      <w:pPr>
        <w:numPr>
          <w:ilvl w:val="1"/>
          <w:numId w:val="2"/>
        </w:numPr>
        <w:rPr>
          <w:b/>
        </w:rPr>
      </w:pPr>
      <w:r>
        <w:t>Others:</w:t>
      </w:r>
      <w:r>
        <w:rPr>
          <w:b/>
        </w:rPr>
        <w:t xml:space="preserve"> </w:t>
      </w:r>
      <w:r>
        <w:t>EU Commission adopted a model of integrated impact assessment (IIA) to assess its policy-making and formulation of legislative proposals.</w:t>
      </w:r>
    </w:p>
    <w:p w14:paraId="00000017" w14:textId="77777777" w:rsidR="009E572E" w:rsidRDefault="00125ED1">
      <w:pPr>
        <w:numPr>
          <w:ilvl w:val="0"/>
          <w:numId w:val="2"/>
        </w:numPr>
      </w:pPr>
      <w:r>
        <w:t>As HRIAs are increasingly undertak</w:t>
      </w:r>
      <w:r>
        <w:t>en by non human rights professional, it is important to make sure that they are “utilised with a view towards enhancing human rights performance rather than simply validation of existing policies and practices.”</w:t>
      </w:r>
    </w:p>
    <w:p w14:paraId="00000018" w14:textId="77777777" w:rsidR="009E572E" w:rsidRDefault="00125ED1">
      <w:pPr>
        <w:numPr>
          <w:ilvl w:val="0"/>
          <w:numId w:val="2"/>
        </w:numPr>
      </w:pPr>
      <w:r>
        <w:t xml:space="preserve">Identifies eight core elements needed for a </w:t>
      </w:r>
      <w:r>
        <w:t>good HRIA process:</w:t>
      </w:r>
    </w:p>
    <w:p w14:paraId="00000019" w14:textId="77777777" w:rsidR="009E572E" w:rsidRDefault="00125ED1">
      <w:pPr>
        <w:numPr>
          <w:ilvl w:val="0"/>
          <w:numId w:val="1"/>
        </w:numPr>
      </w:pPr>
      <w:r>
        <w:t>Screening (if policy, practice, activity is suitable for a full impact assessment)</w:t>
      </w:r>
    </w:p>
    <w:p w14:paraId="0000001A" w14:textId="77777777" w:rsidR="009E572E" w:rsidRDefault="00125ED1">
      <w:pPr>
        <w:numPr>
          <w:ilvl w:val="0"/>
          <w:numId w:val="1"/>
        </w:numPr>
      </w:pPr>
      <w:r>
        <w:t xml:space="preserve">scoping  </w:t>
      </w:r>
    </w:p>
    <w:p w14:paraId="0000001B" w14:textId="77777777" w:rsidR="009E572E" w:rsidRDefault="00125ED1">
      <w:pPr>
        <w:numPr>
          <w:ilvl w:val="0"/>
          <w:numId w:val="1"/>
        </w:numPr>
      </w:pPr>
      <w:r>
        <w:t>evidence gathering</w:t>
      </w:r>
    </w:p>
    <w:p w14:paraId="0000001C" w14:textId="77777777" w:rsidR="009E572E" w:rsidRDefault="00125ED1">
      <w:pPr>
        <w:numPr>
          <w:ilvl w:val="0"/>
          <w:numId w:val="1"/>
        </w:numPr>
      </w:pPr>
      <w:r>
        <w:t>Consultation and participation by those affected</w:t>
      </w:r>
    </w:p>
    <w:p w14:paraId="0000001D" w14:textId="77777777" w:rsidR="009E572E" w:rsidRDefault="00125ED1">
      <w:pPr>
        <w:numPr>
          <w:ilvl w:val="0"/>
          <w:numId w:val="1"/>
        </w:numPr>
      </w:pPr>
      <w:r>
        <w:t>Analysis</w:t>
      </w:r>
    </w:p>
    <w:p w14:paraId="0000001E" w14:textId="77777777" w:rsidR="009E572E" w:rsidRDefault="00125ED1">
      <w:pPr>
        <w:numPr>
          <w:ilvl w:val="0"/>
          <w:numId w:val="1"/>
        </w:numPr>
      </w:pPr>
      <w:r>
        <w:t>Formulation of policy-oriented conclusions and recommendations</w:t>
      </w:r>
    </w:p>
    <w:p w14:paraId="0000001F" w14:textId="77777777" w:rsidR="009E572E" w:rsidRDefault="00125ED1">
      <w:pPr>
        <w:numPr>
          <w:ilvl w:val="0"/>
          <w:numId w:val="1"/>
        </w:numPr>
      </w:pPr>
      <w:r>
        <w:t>Publication</w:t>
      </w:r>
    </w:p>
    <w:p w14:paraId="00000020" w14:textId="77777777" w:rsidR="009E572E" w:rsidRDefault="00125ED1">
      <w:pPr>
        <w:numPr>
          <w:ilvl w:val="0"/>
          <w:numId w:val="1"/>
        </w:numPr>
      </w:pPr>
      <w:r>
        <w:t>Monitoring and review</w:t>
      </w:r>
    </w:p>
    <w:p w14:paraId="00000021" w14:textId="77777777" w:rsidR="009E572E" w:rsidRDefault="009E572E">
      <w:pPr>
        <w:ind w:left="720"/>
      </w:pPr>
    </w:p>
    <w:p w14:paraId="00000022" w14:textId="77777777" w:rsidR="009E572E" w:rsidRDefault="009E572E"/>
    <w:sectPr w:rsidR="009E57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0E0186"/>
    <w:multiLevelType w:val="multilevel"/>
    <w:tmpl w:val="4094F1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84E646F"/>
    <w:multiLevelType w:val="multilevel"/>
    <w:tmpl w:val="9EE09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2E"/>
    <w:rsid w:val="00125ED1"/>
    <w:rsid w:val="009E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C6BA"/>
  <w15:docId w15:val="{6F159144-A594-4212-8F74-0CA1F8E0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cp:lastModifiedBy>
  <cp:revision>2</cp:revision>
  <dcterms:created xsi:type="dcterms:W3CDTF">2020-06-08T17:47:00Z</dcterms:created>
  <dcterms:modified xsi:type="dcterms:W3CDTF">2020-06-08T17:47:00Z</dcterms:modified>
</cp:coreProperties>
</file>