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20" w:line="384.00000000000006" w:lineRule="auto"/>
        <w:rPr>
          <w:sz w:val="21"/>
          <w:szCs w:val="21"/>
        </w:rPr>
      </w:pPr>
      <w:r w:rsidDel="00000000" w:rsidR="00000000" w:rsidRPr="00000000">
        <w:rPr>
          <w:sz w:val="21"/>
          <w:szCs w:val="21"/>
          <w:rtl w:val="0"/>
        </w:rPr>
        <w:t xml:space="preserve">title: Harrison, 2013 date: 2020-06-08 description: Notas author: LKG</w:t>
      </w:r>
    </w:p>
    <w:p w:rsidR="00000000" w:rsidDel="00000000" w:rsidP="00000000" w:rsidRDefault="00000000" w:rsidRPr="00000000" w14:paraId="00000002">
      <w:pPr>
        <w:pStyle w:val="Heading2"/>
        <w:keepNext w:val="0"/>
        <w:keepLines w:val="0"/>
        <w:pBdr>
          <w:top w:color="auto" w:space="6" w:sz="0" w:val="none"/>
          <w:bottom w:color="auto" w:space="0" w:sz="0" w:val="none"/>
        </w:pBdr>
        <w:spacing w:after="40" w:before="0" w:line="384.00000000000006" w:lineRule="auto"/>
        <w:rPr>
          <w:b w:val="1"/>
          <w:sz w:val="30"/>
          <w:szCs w:val="30"/>
        </w:rPr>
      </w:pPr>
      <w:bookmarkStart w:colFirst="0" w:colLast="0" w:name="_9aaqmtqu6euo" w:id="0"/>
      <w:bookmarkEnd w:id="0"/>
      <w:r w:rsidDel="00000000" w:rsidR="00000000" w:rsidRPr="00000000">
        <w:rPr>
          <w:b w:val="1"/>
          <w:sz w:val="30"/>
          <w:szCs w:val="30"/>
          <w:rtl w:val="0"/>
        </w:rPr>
        <w:t xml:space="preserve">type: page</w:t>
      </w:r>
    </w:p>
    <w:p w:rsidR="00000000" w:rsidDel="00000000" w:rsidP="00000000" w:rsidRDefault="00000000" w:rsidRPr="00000000" w14:paraId="00000003">
      <w:pPr>
        <w:rPr/>
      </w:pPr>
      <w:r w:rsidDel="00000000" w:rsidR="00000000" w:rsidRPr="00000000">
        <w:rPr>
          <w:rtl w:val="0"/>
        </w:rPr>
        <w:t xml:space="preserve">James Harrison- Establishing a meaningful human rights due diligence process for corporations: learning from experience of human rights impact assessment</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Ruggie’s 2008 ‘protect, respect and remedy’ framework addresses the question of what States and business enterprises need to do to ensure business respect for human rights and GP (2011) is meant to respond to the question “How?”</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High level of acceptance from the beginning (included in OECD guidelines for multinational corporations in 2011, he European Investment Bank is incorporating the Framework into its project social performance standards; and key concepts also find their way into the International Organization for Standardization ISO 26000 Guidance on Social Responsibility (ISO 2010)</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But due diligence is not operationalized and there are still many debates about HRIA’s focus and</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For HRIA to fulfill companies’ due diligence responsibility they must be: transparent; count with external participation and verification; and have independent monitoring and review.</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HRIA is not the only way for companies to fulfill their due diligence responsibilities,but the most likely mechanism that companies will utilize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One of the key strengths of utilizing human rights as the analytical basis for impact assessment is that HRIAs measure impacts in terms of codified human rights standards that are the legal obligations of governments. The content of these rights, and the obligations to which they give rise, have been elaborated in case law, or at the very least in expert commentary by academic scholars. This potentially gives them a more secure and precise normative foundation than, for example, social impact assessment where the theoretical and philosophical foundations that form the basis for assessment are more contested.</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However, still no consensus on how to conduct HRIAs</w:t>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Ex: an HRIA of the Central American Free Trade Agreement, conducted by a leading commentator and analyst of HRIAs, was limited to consultation with experts</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 HRIA is a relatively young form of impact assessment, without a strong sense of shared values, undertaken by a wide range of practitioners from different types of bodies, with no strong professional community to create links between assessors or to forge a sense of common identity or purpose.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The linking of HRDD to harder forms of State-based conditionality is vitally important. Once companies realize that there are significant financial incentives for undertaking HRDD (or penalties for not doing so), there are likely to be many more adherents to the process. </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There is a need to distinguish carefully between a public and verifiable human rights impact assessment process and a private human rights risk assessment conducted by companies purely for their own internal use. For instance, </w:t>
      </w:r>
      <w:r w:rsidDel="00000000" w:rsidR="00000000" w:rsidRPr="00000000">
        <w:rPr>
          <w:b w:val="1"/>
          <w:rtl w:val="0"/>
        </w:rPr>
        <w:t xml:space="preserve">the Danish Human Rights Centre’s Human Rights Compliance Assessment tool is widely perceived as a form of HRIA (e.g. see Aim for Human Rights 2009). While it is a very useful risk assessment tool, it is primarily used for internal monitoring processes by registered companies and reports are generally not published. It therefore should not be seen as a form of due diligence </w:t>
      </w:r>
      <w:r w:rsidDel="00000000" w:rsidR="00000000" w:rsidRPr="00000000">
        <w:rPr>
          <w:rtl w:val="0"/>
        </w:rPr>
        <w:t xml:space="preserve">that would meet the requirements of the Ruggie Framework without, at a minimum, the additional transparency requirements set out above being adopted.</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Ruggie recognizes the value of an independent element in the due diligence process and in verifying results, as noted above. However, again, there is no obligation created, and it is left to the company’s discretion to decide whether and how to adopt an independent element to the process.</w:t>
      </w:r>
    </w:p>
    <w:p w:rsidR="00000000" w:rsidDel="00000000" w:rsidP="00000000" w:rsidRDefault="00000000" w:rsidRPr="00000000" w14:paraId="00000010">
      <w:pPr>
        <w:ind w:left="0" w:firstLine="0"/>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