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20" w:line="384.00000000000006" w:lineRule="auto"/>
        <w:rPr>
          <w:sz w:val="21"/>
          <w:szCs w:val="21"/>
        </w:rPr>
      </w:pPr>
      <w:r w:rsidDel="00000000" w:rsidR="00000000" w:rsidRPr="00000000">
        <w:rPr>
          <w:sz w:val="21"/>
          <w:szCs w:val="21"/>
          <w:rtl w:val="0"/>
        </w:rPr>
        <w:t xml:space="preserve">title: Watson 2013 date: 2020-06-</w:t>
      </w:r>
      <w:r w:rsidDel="00000000" w:rsidR="00000000" w:rsidRPr="00000000">
        <w:rPr>
          <w:sz w:val="21"/>
          <w:szCs w:val="21"/>
          <w:rtl w:val="0"/>
        </w:rPr>
        <w:t xml:space="preserve">09</w:t>
      </w:r>
      <w:r w:rsidDel="00000000" w:rsidR="00000000" w:rsidRPr="00000000">
        <w:rPr>
          <w:sz w:val="21"/>
          <w:szCs w:val="21"/>
          <w:rtl w:val="0"/>
        </w:rPr>
        <w:t xml:space="preserve"> description: Notas author: LKG</w:t>
      </w:r>
    </w:p>
    <w:p w:rsidR="00000000" w:rsidDel="00000000" w:rsidP="00000000" w:rsidRDefault="00000000" w:rsidRPr="00000000" w14:paraId="00000002">
      <w:pPr>
        <w:pStyle w:val="Heading2"/>
        <w:keepNext w:val="0"/>
        <w:keepLines w:val="0"/>
        <w:pBdr>
          <w:top w:color="auto" w:space="6" w:sz="0" w:val="none"/>
          <w:bottom w:color="auto" w:space="0" w:sz="0" w:val="none"/>
        </w:pBdr>
        <w:spacing w:after="40" w:before="0" w:line="384.00000000000006" w:lineRule="auto"/>
        <w:rPr>
          <w:b w:val="1"/>
          <w:sz w:val="30"/>
          <w:szCs w:val="30"/>
        </w:rPr>
      </w:pPr>
      <w:bookmarkStart w:colFirst="0" w:colLast="0" w:name="_9aaqmtqu6euo" w:id="0"/>
      <w:bookmarkEnd w:id="0"/>
      <w:r w:rsidDel="00000000" w:rsidR="00000000" w:rsidRPr="00000000">
        <w:rPr>
          <w:b w:val="1"/>
          <w:sz w:val="30"/>
          <w:szCs w:val="30"/>
          <w:rtl w:val="0"/>
        </w:rPr>
        <w:t xml:space="preserve">type: page</w:t>
      </w:r>
    </w:p>
    <w:p w:rsidR="00000000" w:rsidDel="00000000" w:rsidP="00000000" w:rsidRDefault="00000000" w:rsidRPr="00000000" w14:paraId="00000003">
      <w:pPr>
        <w:rPr/>
      </w:pPr>
      <w:r w:rsidDel="00000000" w:rsidR="00000000" w:rsidRPr="00000000">
        <w:rPr>
          <w:rtl w:val="0"/>
        </w:rPr>
        <w:t xml:space="preserve">Watson et al. - From Talk to Walk: The Emergence of Human Rights Responsibilities for Corporations at International Law</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International human rights law still operates through a state-based framework, which on its own is inadequate to regulate powerful non state actors.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The invisibility of TNCs' accountability at the international level, especially under international human rights law, has arisen from the combined consequences of two factors. The first is the fact that historically, international human rights law has developed as a tool to protect individuals from the arbitrary use of power by states, not corporations or other private entities. To the extent that international human rights law does embrace non-state actors, it does so very largely by way of holding states indirectly liable for the direct infringements of others, including corporations.</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 Before human rights duties can be imposed on TNCs, they must be recognized in international law as subjects of, or at least "participants in," international law, capable of bearing international legal duties. In other words, they must possess international legal personality. </w:t>
      </w:r>
    </w:p>
    <w:p w:rsidR="00000000" w:rsidDel="00000000" w:rsidP="00000000" w:rsidRDefault="00000000" w:rsidRPr="00000000" w14:paraId="00000007">
      <w:pPr>
        <w:numPr>
          <w:ilvl w:val="2"/>
          <w:numId w:val="1"/>
        </w:numPr>
        <w:ind w:left="2160" w:hanging="360"/>
      </w:pPr>
      <w:r w:rsidDel="00000000" w:rsidR="00000000" w:rsidRPr="00000000">
        <w:rPr>
          <w:rtl w:val="0"/>
        </w:rPr>
        <w:t xml:space="preserve">TNCs have traditionally been given rights under foreign investment law, particularly in relation to expropriation, compensation, and non-discriminatory national treatment relative to domestic firms.</w:t>
      </w:r>
    </w:p>
    <w:p w:rsidR="00000000" w:rsidDel="00000000" w:rsidP="00000000" w:rsidRDefault="00000000" w:rsidRPr="00000000" w14:paraId="00000008">
      <w:pPr>
        <w:numPr>
          <w:ilvl w:val="2"/>
          <w:numId w:val="1"/>
        </w:numPr>
        <w:ind w:left="2160" w:hanging="360"/>
      </w:pPr>
      <w:r w:rsidDel="00000000" w:rsidR="00000000" w:rsidRPr="00000000">
        <w:rPr>
          <w:rtl w:val="0"/>
        </w:rPr>
        <w:t xml:space="preserve">TNCs also have direct duties under some multilateral conventions. For example, both the International Convention on Civil Liability for Oil Pollution Damageand the Convention on Civil Liability for Damage Resulting from Activities Dangerous to the Environment directly impose liability on legal persons including corporations. </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TNCs are also empowered to enforce their rights.For example, a treaty created under the World Bank enables corporations to submit disputes to binding arbitration by the International Center for the Settlement of Investment Disputes. And under NAFTA, corporations are able to seek recompense, spectacularly, from foreign governments for breach of their right to unhindered, cross-border trade through the Agreement's private dispute-settlement mechanism</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UDHR has stronger language about “duties to the community” for all non-state actors as well</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State governments are reluctant to concede this because it would be admitting that they do not hold the monopoly over international stage.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U.S. Alien Tort Claims Act (ATCA) - a unique instruments of domestic law with extraterritorial reach that allows U.S. district courts to hear civil claims of foreign citizens for injuries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Since the 1970s a number of intergovernmental organizations have formulated voluntary guidelines, declarations, and codes of conduct aimed at regulating TNCs' activities. Typically, these guidelines are not directed at corporations themselves (rather, they are directed at states whose task it is to apply them to the corporations within their jurisdiction), and they are not in any case binding on signatory states, the OECD and ILO instruments are the only such guidelines that contain implementation mechanisms specifically enabling corporate behavior to be scrutinized.</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OECD's 1976 Guidelines for Multinational Enterprises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The ILO's 1977 Tripartite Declaration of Principles Concerning Multinational Enterprises and Social Policy</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The UN Global Compact is another soft law instrument directed at TNCs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Many TNCs have acceded to private initiatives that urge greater corporate compliance with international human rights standards or to develop their own internal codes of conduct.</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forerunners of the trend-the Sullivan Principles (a U.S.-based initiative that targeted corporations working in apartheid South Africa) and the MacBride Principles (which encouraged affirmative action employment programs in Northern Ireland).</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U.S. Apparel Industry Partnership's Workplace Code of Conduct,88 SA 8000,89 and WRAP90</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Lots of high profile brand companies with the bulk of production set in developing countries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Issue of jurisdiction or “spheres of influence” sets a difficult comparison between TNC and State Governments</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