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20" w:line="384.00000000000006" w:lineRule="auto"/>
        <w:rPr>
          <w:sz w:val="21"/>
          <w:szCs w:val="21"/>
        </w:rPr>
      </w:pPr>
      <w:r w:rsidDel="00000000" w:rsidR="00000000" w:rsidRPr="00000000">
        <w:rPr>
          <w:sz w:val="21"/>
          <w:szCs w:val="21"/>
          <w:rtl w:val="0"/>
        </w:rPr>
        <w:t xml:space="preserve">title: Rivera, 2013 date: 2020-06-08 description: Notas author: LKG</w:t>
      </w:r>
    </w:p>
    <w:p w:rsidR="00000000" w:rsidDel="00000000" w:rsidP="00000000" w:rsidRDefault="00000000" w:rsidRPr="00000000" w14:paraId="00000002">
      <w:pPr>
        <w:pStyle w:val="Heading2"/>
        <w:keepNext w:val="0"/>
        <w:keepLines w:val="0"/>
        <w:pBdr>
          <w:top w:color="auto" w:space="6" w:sz="0" w:val="none"/>
          <w:bottom w:color="auto" w:space="0" w:sz="0" w:val="none"/>
        </w:pBdr>
        <w:spacing w:after="40" w:before="0" w:line="384.00000000000006" w:lineRule="auto"/>
        <w:rPr>
          <w:b w:val="1"/>
          <w:sz w:val="30"/>
          <w:szCs w:val="30"/>
        </w:rPr>
      </w:pPr>
      <w:bookmarkStart w:colFirst="0" w:colLast="0" w:name="_9aaqmtqu6euo" w:id="0"/>
      <w:bookmarkEnd w:id="0"/>
      <w:r w:rsidDel="00000000" w:rsidR="00000000" w:rsidRPr="00000000">
        <w:rPr>
          <w:b w:val="1"/>
          <w:sz w:val="30"/>
          <w:szCs w:val="30"/>
          <w:rtl w:val="0"/>
        </w:rPr>
        <w:t xml:space="preserve">type: page</w:t>
      </w:r>
    </w:p>
    <w:p w:rsidR="00000000" w:rsidDel="00000000" w:rsidP="00000000" w:rsidRDefault="00000000" w:rsidRPr="00000000" w14:paraId="00000003">
      <w:pPr>
        <w:rPr/>
      </w:pPr>
      <w:r w:rsidDel="00000000" w:rsidR="00000000" w:rsidRPr="00000000">
        <w:rPr>
          <w:rtl w:val="0"/>
        </w:rPr>
        <w:t xml:space="preserve">Humberto Cantú Rivera - Regional Approaches in the Business and Human Rights Field</w:t>
      </w:r>
    </w:p>
    <w:p w:rsidR="00000000" w:rsidDel="00000000" w:rsidP="00000000" w:rsidRDefault="00000000" w:rsidRPr="00000000" w14:paraId="00000004">
      <w:pPr>
        <w:numPr>
          <w:ilvl w:val="0"/>
          <w:numId w:val="1"/>
        </w:numPr>
        <w:shd w:fill="ffffff" w:val="clear"/>
        <w:spacing w:after="0" w:afterAutospacing="0" w:before="200" w:lineRule="auto"/>
        <w:ind w:left="720" w:hanging="360"/>
        <w:rPr>
          <w:color w:val="222222"/>
        </w:rPr>
      </w:pPr>
      <w:r w:rsidDel="00000000" w:rsidR="00000000" w:rsidRPr="00000000">
        <w:rPr>
          <w:color w:val="222222"/>
          <w:rtl w:val="0"/>
        </w:rPr>
        <w:t xml:space="preserve">Europe has taken a regional approach to ensure policies are consistent with corporate responsibility and human rights commitment, but in Latin America, the Inter-American Court of Human Rights might be the best mechanism to push the issue further through its case law.</w:t>
      </w:r>
    </w:p>
    <w:p w:rsidR="00000000" w:rsidDel="00000000" w:rsidP="00000000" w:rsidRDefault="00000000" w:rsidRPr="00000000" w14:paraId="00000005">
      <w:pPr>
        <w:numPr>
          <w:ilvl w:val="0"/>
          <w:numId w:val="1"/>
        </w:numPr>
        <w:shd w:fill="ffffff" w:val="clear"/>
        <w:spacing w:after="0" w:afterAutospacing="0" w:before="0" w:beforeAutospacing="0" w:lineRule="auto"/>
        <w:ind w:left="720" w:hanging="360"/>
        <w:rPr>
          <w:color w:val="222222"/>
        </w:rPr>
      </w:pPr>
      <w:r w:rsidDel="00000000" w:rsidR="00000000" w:rsidRPr="00000000">
        <w:rPr>
          <w:color w:val="222222"/>
          <w:rtl w:val="0"/>
        </w:rPr>
        <w:t xml:space="preserve">Countries in Europe have been asked to develop national plans that implement Ruggie’s guidelines, and certain institutions have been given specific roles with implementation. The OAS has been much slower possibly because many of its member states are hosts to multinational companies. </w:t>
      </w:r>
    </w:p>
    <w:p w:rsidR="00000000" w:rsidDel="00000000" w:rsidP="00000000" w:rsidRDefault="00000000" w:rsidRPr="00000000" w14:paraId="00000006">
      <w:pPr>
        <w:numPr>
          <w:ilvl w:val="0"/>
          <w:numId w:val="1"/>
        </w:numPr>
        <w:shd w:fill="ffffff" w:val="clear"/>
        <w:spacing w:after="0" w:afterAutospacing="0" w:before="0" w:beforeAutospacing="0" w:lineRule="auto"/>
        <w:ind w:left="720" w:hanging="360"/>
        <w:rPr>
          <w:color w:val="222222"/>
          <w:u w:val="none"/>
        </w:rPr>
      </w:pPr>
      <w:r w:rsidDel="00000000" w:rsidR="00000000" w:rsidRPr="00000000">
        <w:rPr>
          <w:color w:val="222222"/>
          <w:rtl w:val="0"/>
        </w:rPr>
        <w:t xml:space="preserve">The differences in implementation of Riggie’s GP between these two regions, illustrate some of its main criticisms:</w:t>
      </w:r>
    </w:p>
    <w:p w:rsidR="00000000" w:rsidDel="00000000" w:rsidP="00000000" w:rsidRDefault="00000000" w:rsidRPr="00000000" w14:paraId="00000007">
      <w:pPr>
        <w:numPr>
          <w:ilvl w:val="1"/>
          <w:numId w:val="1"/>
        </w:numPr>
        <w:shd w:fill="ffffff" w:val="clear"/>
        <w:spacing w:line="240" w:lineRule="auto"/>
        <w:ind w:left="1440" w:hanging="360"/>
        <w:rPr>
          <w:color w:val="222222"/>
        </w:rPr>
      </w:pPr>
      <w:r w:rsidDel="00000000" w:rsidR="00000000" w:rsidRPr="00000000">
        <w:rPr>
          <w:color w:val="222222"/>
          <w:rtl w:val="0"/>
        </w:rPr>
        <w:t xml:space="preserve">Difficulties with extraterritorial adjudication, </w:t>
      </w:r>
    </w:p>
    <w:p w:rsidR="00000000" w:rsidDel="00000000" w:rsidP="00000000" w:rsidRDefault="00000000" w:rsidRPr="00000000" w14:paraId="00000008">
      <w:pPr>
        <w:numPr>
          <w:ilvl w:val="1"/>
          <w:numId w:val="1"/>
        </w:numPr>
        <w:shd w:fill="ffffff" w:val="clear"/>
        <w:spacing w:line="240" w:lineRule="auto"/>
        <w:ind w:left="1440" w:hanging="360"/>
        <w:rPr>
          <w:color w:val="222222"/>
        </w:rPr>
      </w:pPr>
      <w:r w:rsidDel="00000000" w:rsidR="00000000" w:rsidRPr="00000000">
        <w:rPr>
          <w:color w:val="222222"/>
          <w:rtl w:val="0"/>
        </w:rPr>
        <w:t xml:space="preserve">Lack of a central mechanism to ensure their implementation or the binding character of the Ruggie guidelines, </w:t>
      </w:r>
    </w:p>
    <w:p w:rsidR="00000000" w:rsidDel="00000000" w:rsidP="00000000" w:rsidRDefault="00000000" w:rsidRPr="00000000" w14:paraId="00000009">
      <w:pPr>
        <w:numPr>
          <w:ilvl w:val="1"/>
          <w:numId w:val="1"/>
        </w:numPr>
        <w:shd w:fill="ffffff" w:val="clear"/>
        <w:spacing w:line="240" w:lineRule="auto"/>
        <w:ind w:left="1440" w:hanging="360"/>
        <w:rPr>
          <w:color w:val="222222"/>
        </w:rPr>
      </w:pPr>
      <w:r w:rsidDel="00000000" w:rsidR="00000000" w:rsidRPr="00000000">
        <w:rPr>
          <w:color w:val="222222"/>
          <w:rtl w:val="0"/>
        </w:rPr>
        <w:t xml:space="preserve">An assumption State willingness and capacity to enforce</w:t>
      </w:r>
    </w:p>
    <w:p w:rsidR="00000000" w:rsidDel="00000000" w:rsidP="00000000" w:rsidRDefault="00000000" w:rsidRPr="00000000" w14:paraId="0000000A">
      <w:pPr>
        <w:numPr>
          <w:ilvl w:val="0"/>
          <w:numId w:val="1"/>
        </w:numPr>
        <w:shd w:fill="ffffff" w:val="clear"/>
        <w:spacing w:line="240" w:lineRule="auto"/>
        <w:ind w:left="720" w:hanging="360"/>
        <w:rPr>
          <w:color w:val="222222"/>
        </w:rPr>
      </w:pPr>
      <w:r w:rsidDel="00000000" w:rsidR="00000000" w:rsidRPr="00000000">
        <w:rPr>
          <w:color w:val="222222"/>
          <w:rtl w:val="0"/>
        </w:rPr>
        <w:t xml:space="preserve">Given the lack of concrete guidelines on how business should operationalize due diligence, the European Commission created sector guides for three industrial areas: </w:t>
      </w:r>
      <w:hyperlink r:id="rId6">
        <w:r w:rsidDel="00000000" w:rsidR="00000000" w:rsidRPr="00000000">
          <w:rPr>
            <w:color w:val="1155cc"/>
            <w:u w:val="single"/>
            <w:rtl w:val="0"/>
          </w:rPr>
          <w:t xml:space="preserve">the information and communications technology industry</w:t>
        </w:r>
      </w:hyperlink>
      <w:r w:rsidDel="00000000" w:rsidR="00000000" w:rsidRPr="00000000">
        <w:rPr>
          <w:color w:val="222222"/>
          <w:rtl w:val="0"/>
        </w:rPr>
        <w:t xml:space="preserve">, the employment and recruitment agencies industry, and the oil and gas sector.</w:t>
      </w:r>
    </w:p>
    <w:p w:rsidR="00000000" w:rsidDel="00000000" w:rsidP="00000000" w:rsidRDefault="00000000" w:rsidRPr="00000000" w14:paraId="0000000B">
      <w:pPr>
        <w:numPr>
          <w:ilvl w:val="0"/>
          <w:numId w:val="1"/>
        </w:numPr>
        <w:shd w:fill="ffffff" w:val="clear"/>
        <w:spacing w:line="240" w:lineRule="auto"/>
        <w:ind w:left="720" w:hanging="360"/>
        <w:rPr>
          <w:color w:val="222222"/>
        </w:rPr>
      </w:pPr>
      <w:r w:rsidDel="00000000" w:rsidR="00000000" w:rsidRPr="00000000">
        <w:rPr>
          <w:color w:val="222222"/>
          <w:rtl w:val="0"/>
        </w:rPr>
        <w:t xml:space="preserve">In its first three-year mandate, the working group on business and human rights issued five reports, one especially relevant for Latin America on the impact of corporate activities in the human rights of indigenous peoples.</w:t>
      </w:r>
    </w:p>
    <w:p w:rsidR="00000000" w:rsidDel="00000000" w:rsidP="00000000" w:rsidRDefault="00000000" w:rsidRPr="00000000" w14:paraId="0000000C">
      <w:pPr>
        <w:numPr>
          <w:ilvl w:val="0"/>
          <w:numId w:val="1"/>
        </w:numPr>
        <w:shd w:fill="ffffff" w:val="clear"/>
        <w:spacing w:line="240" w:lineRule="auto"/>
        <w:ind w:left="720" w:hanging="360"/>
        <w:rPr>
          <w:color w:val="222222"/>
        </w:rPr>
      </w:pPr>
      <w:r w:rsidDel="00000000" w:rsidR="00000000" w:rsidRPr="00000000">
        <w:rPr>
          <w:color w:val="222222"/>
          <w:rtl w:val="0"/>
        </w:rPr>
        <w:t xml:space="preserve">In September 2013, a large group of States —mostly developing countries— and NGOs, led by Ecuador, presented a request to the Human Rights Council to start anew a process to develop a business and human rights treaty, aimed at imposing binding norms of international law on corporations, in the same sense as the UN Draft Code of Conduct of the 1980s and the UN Draft Norms of the early 2000s attempted to do, but very little political capital for any obligatory norms.</w:t>
      </w:r>
    </w:p>
    <w:p w:rsidR="00000000" w:rsidDel="00000000" w:rsidP="00000000" w:rsidRDefault="00000000" w:rsidRPr="00000000" w14:paraId="0000000D">
      <w:pPr>
        <w:numPr>
          <w:ilvl w:val="1"/>
          <w:numId w:val="1"/>
        </w:numPr>
        <w:shd w:fill="ffffff" w:val="clear"/>
        <w:spacing w:line="240" w:lineRule="auto"/>
        <w:ind w:left="1440" w:hanging="360"/>
        <w:rPr>
          <w:color w:val="222222"/>
          <w:u w:val="none"/>
        </w:rPr>
      </w:pPr>
      <w:r w:rsidDel="00000000" w:rsidR="00000000" w:rsidRPr="00000000">
        <w:rPr>
          <w:color w:val="222222"/>
          <w:rtl w:val="0"/>
        </w:rPr>
        <w:t xml:space="preserve">Another example of the disconnect between official discourse and a lack of domestic implementation</w:t>
      </w:r>
    </w:p>
    <w:p w:rsidR="00000000" w:rsidDel="00000000" w:rsidP="00000000" w:rsidRDefault="00000000" w:rsidRPr="00000000" w14:paraId="0000000E">
      <w:pPr>
        <w:numPr>
          <w:ilvl w:val="1"/>
          <w:numId w:val="1"/>
        </w:numPr>
        <w:shd w:fill="ffffff" w:val="clear"/>
        <w:spacing w:line="240" w:lineRule="auto"/>
        <w:ind w:left="1440" w:hanging="360"/>
        <w:rPr>
          <w:color w:val="222222"/>
        </w:rPr>
      </w:pPr>
      <w:r w:rsidDel="00000000" w:rsidR="00000000" w:rsidRPr="00000000">
        <w:rPr>
          <w:color w:val="222222"/>
          <w:rtl w:val="0"/>
        </w:rPr>
        <w:t xml:space="preserve">The website of the UN Working Group on Business &amp; Human Rights shows that several Latin-American States (Colombia, Costa Rica, Guatemala and Uruguay) have filed submissions; nevertheless, only the Canadian Human Rights Commission has submitted a report to the Working Group</w:t>
      </w:r>
    </w:p>
    <w:p w:rsidR="00000000" w:rsidDel="00000000" w:rsidP="00000000" w:rsidRDefault="00000000" w:rsidRPr="00000000" w14:paraId="0000000F">
      <w:pPr>
        <w:numPr>
          <w:ilvl w:val="0"/>
          <w:numId w:val="1"/>
        </w:numPr>
        <w:shd w:fill="ffffff" w:val="clear"/>
        <w:spacing w:line="240" w:lineRule="auto"/>
        <w:ind w:left="720" w:hanging="360"/>
        <w:rPr>
          <w:color w:val="222222"/>
          <w:u w:val="none"/>
        </w:rPr>
      </w:pPr>
      <w:r w:rsidDel="00000000" w:rsidR="00000000" w:rsidRPr="00000000">
        <w:rPr>
          <w:color w:val="222222"/>
          <w:rtl w:val="0"/>
        </w:rPr>
        <w:t xml:space="preserve">The Inter-American Commission on Human Rights held a hearing at its 149th Period of Sessions on the human rights situation of people affected by mining in the Americas and responsibilities of the host and home States of mining companies in November 2013  and reiterated: "Article 36.</w:t>
      </w:r>
      <w:r w:rsidDel="00000000" w:rsidR="00000000" w:rsidRPr="00000000">
        <w:rPr>
          <w:i w:val="1"/>
          <w:color w:val="222222"/>
          <w:rtl w:val="0"/>
        </w:rPr>
        <w:t xml:space="preserve"> Transnational enterprises and foreign private investment shall be subject to the legislation of the host countries and to the jurisdiction of their competent courts and to the international treaties and agreements to which said countries are parties, and should conform to the development policies of the recipient countries” . </w:t>
      </w:r>
    </w:p>
    <w:p w:rsidR="00000000" w:rsidDel="00000000" w:rsidP="00000000" w:rsidRDefault="00000000" w:rsidRPr="00000000" w14:paraId="00000010">
      <w:pPr>
        <w:numPr>
          <w:ilvl w:val="0"/>
          <w:numId w:val="1"/>
        </w:numPr>
        <w:shd w:fill="ffffff" w:val="clear"/>
        <w:spacing w:line="240" w:lineRule="auto"/>
        <w:ind w:left="720" w:hanging="360"/>
        <w:rPr>
          <w:color w:val="222222"/>
        </w:rPr>
      </w:pPr>
      <w:r w:rsidDel="00000000" w:rsidR="00000000" w:rsidRPr="00000000">
        <w:rPr>
          <w:color w:val="222222"/>
          <w:rtl w:val="0"/>
        </w:rPr>
        <w:t xml:space="preserve">In terms of due diligence, Rivera highlights common ground between due diligence exercised by the State and due diligence exercised as part of a corporate risk assessment exists, since due diligence generally entails taking positive steps to prevent harm from happening, many times through social and environmental impact assessments.</w:t>
      </w:r>
    </w:p>
    <w:p w:rsidR="00000000" w:rsidDel="00000000" w:rsidP="00000000" w:rsidRDefault="00000000" w:rsidRPr="00000000" w14:paraId="00000011">
      <w:pPr>
        <w:numPr>
          <w:ilvl w:val="1"/>
          <w:numId w:val="1"/>
        </w:numPr>
        <w:shd w:fill="ffffff" w:val="clear"/>
        <w:spacing w:line="240" w:lineRule="auto"/>
        <w:ind w:left="1440" w:hanging="360"/>
        <w:rPr>
          <w:color w:val="222222"/>
          <w:u w:val="none"/>
        </w:rPr>
      </w:pPr>
      <w:r w:rsidDel="00000000" w:rsidR="00000000" w:rsidRPr="00000000">
        <w:rPr>
          <w:color w:val="222222"/>
          <w:rtl w:val="0"/>
        </w:rPr>
        <w:t xml:space="preserve">BUT positive obligation for states do not have an exact translation for corporations (in fact, having due diligence studies too often could pose a reputational risk) and depends on sector, size, type of organization.</w:t>
      </w:r>
    </w:p>
    <w:p w:rsidR="00000000" w:rsidDel="00000000" w:rsidP="00000000" w:rsidRDefault="00000000" w:rsidRPr="00000000" w14:paraId="00000012">
      <w:pPr>
        <w:numPr>
          <w:ilvl w:val="1"/>
          <w:numId w:val="1"/>
        </w:numPr>
        <w:shd w:fill="ffffff" w:val="clear"/>
        <w:spacing w:line="240" w:lineRule="auto"/>
        <w:ind w:left="1440" w:hanging="360"/>
        <w:rPr>
          <w:color w:val="222222"/>
        </w:rPr>
      </w:pPr>
      <w:r w:rsidDel="00000000" w:rsidR="00000000" w:rsidRPr="00000000">
        <w:rPr>
          <w:color w:val="222222"/>
          <w:rtl w:val="0"/>
        </w:rPr>
        <w:t xml:space="preserve">The normative foundation on which corporate human rights due diligence rests is relatively weak —despite its broad international acceptance by different stakeholders—, deriving directly from a soft instrument of international human rights law and not from a binding norm agreed upon by States</w:t>
      </w:r>
    </w:p>
    <w:p w:rsidR="00000000" w:rsidDel="00000000" w:rsidP="00000000" w:rsidRDefault="00000000" w:rsidRPr="00000000" w14:paraId="00000013">
      <w:pPr>
        <w:numPr>
          <w:ilvl w:val="2"/>
          <w:numId w:val="1"/>
        </w:numPr>
        <w:shd w:fill="ffffff" w:val="clear"/>
        <w:spacing w:line="240" w:lineRule="auto"/>
        <w:ind w:left="2160" w:hanging="360"/>
        <w:rPr>
          <w:color w:val="222222"/>
          <w:u w:val="none"/>
        </w:rPr>
      </w:pPr>
      <w:r w:rsidDel="00000000" w:rsidR="00000000" w:rsidRPr="00000000">
        <w:rPr>
          <w:color w:val="222222"/>
          <w:rtl w:val="0"/>
        </w:rPr>
        <w:t xml:space="preserve">For this reason, these different regional approaches to implement GPs could dilute their “normative foundation.” The Working Group should focus on operationalizing the GP and providing sector specific guidelines.</w:t>
      </w:r>
    </w:p>
    <w:p w:rsidR="00000000" w:rsidDel="00000000" w:rsidP="00000000" w:rsidRDefault="00000000" w:rsidRPr="00000000" w14:paraId="00000014">
      <w:pPr>
        <w:shd w:fill="ffffff" w:val="clear"/>
        <w:spacing w:line="240" w:lineRule="auto"/>
        <w:rPr>
          <w:color w:val="222222"/>
        </w:rPr>
      </w:pPr>
      <w:r w:rsidDel="00000000" w:rsidR="00000000" w:rsidRPr="00000000">
        <w:rPr>
          <w:rtl w:val="0"/>
        </w:rPr>
      </w:r>
    </w:p>
    <w:p w:rsidR="00000000" w:rsidDel="00000000" w:rsidP="00000000" w:rsidRDefault="00000000" w:rsidRPr="00000000" w14:paraId="00000015">
      <w:pPr>
        <w:shd w:fill="ffffff" w:val="clear"/>
        <w:spacing w:after="160" w:before="200" w:lineRule="auto"/>
        <w:ind w:left="0" w:firstLine="0"/>
        <w:rPr>
          <w:color w:val="222222"/>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c.europa.eu/anti-trafficking/sites/antitrafficking/files/information_and_communication_technology_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