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20" w:line="384.00000000000006" w:lineRule="auto"/>
        <w:rPr>
          <w:sz w:val="21"/>
          <w:szCs w:val="21"/>
        </w:rPr>
      </w:pPr>
      <w:r w:rsidDel="00000000" w:rsidR="00000000" w:rsidRPr="00000000">
        <w:rPr>
          <w:sz w:val="21"/>
          <w:szCs w:val="21"/>
          <w:rtl w:val="0"/>
        </w:rPr>
        <w:t xml:space="preserve">title: Watson 2013 date: 2020-06-</w:t>
      </w:r>
      <w:r w:rsidDel="00000000" w:rsidR="00000000" w:rsidRPr="00000000">
        <w:rPr>
          <w:sz w:val="21"/>
          <w:szCs w:val="21"/>
          <w:rtl w:val="0"/>
        </w:rPr>
        <w:t xml:space="preserve">09</w:t>
      </w:r>
      <w:r w:rsidDel="00000000" w:rsidR="00000000" w:rsidRPr="00000000">
        <w:rPr>
          <w:sz w:val="21"/>
          <w:szCs w:val="21"/>
          <w:rtl w:val="0"/>
        </w:rPr>
        <w:t xml:space="preserve"> description: Notas author: LKG</w:t>
      </w:r>
    </w:p>
    <w:p w:rsidR="00000000" w:rsidDel="00000000" w:rsidP="00000000" w:rsidRDefault="00000000" w:rsidRPr="00000000" w14:paraId="00000002">
      <w:pPr>
        <w:pStyle w:val="Heading2"/>
        <w:keepNext w:val="0"/>
        <w:keepLines w:val="0"/>
        <w:pBdr>
          <w:top w:color="auto" w:space="6" w:sz="0" w:val="none"/>
          <w:bottom w:color="auto" w:space="0" w:sz="0" w:val="none"/>
        </w:pBdr>
        <w:spacing w:after="40" w:before="0" w:line="384.00000000000006" w:lineRule="auto"/>
        <w:rPr>
          <w:b w:val="1"/>
          <w:sz w:val="30"/>
          <w:szCs w:val="30"/>
        </w:rPr>
      </w:pPr>
      <w:bookmarkStart w:colFirst="0" w:colLast="0" w:name="_9aaqmtqu6euo" w:id="0"/>
      <w:bookmarkEnd w:id="0"/>
      <w:r w:rsidDel="00000000" w:rsidR="00000000" w:rsidRPr="00000000">
        <w:rPr>
          <w:b w:val="1"/>
          <w:sz w:val="30"/>
          <w:szCs w:val="30"/>
          <w:rtl w:val="0"/>
        </w:rPr>
        <w:t xml:space="preserve">type: page</w:t>
      </w:r>
    </w:p>
    <w:p w:rsidR="00000000" w:rsidDel="00000000" w:rsidP="00000000" w:rsidRDefault="00000000" w:rsidRPr="00000000" w14:paraId="00000003">
      <w:pPr>
        <w:rPr/>
      </w:pPr>
      <w:r w:rsidDel="00000000" w:rsidR="00000000" w:rsidRPr="00000000">
        <w:rPr>
          <w:rtl w:val="0"/>
        </w:rPr>
        <w:t xml:space="preserve">Watson el al. - Human rights impact assessment in practice: Oxfam's application of a community-based approach</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2010 and 2012 Oxfam carried pilots for community based HRIAs using Rights and Democracy tool (in US and in Bolivia)</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Civil society organizations have largely welcomed the Guiding Principles, they have critiqued the lack of binding mechanism for state and company compliance with the guidance</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Melish &amp; Meidinger (2011) and Harrison (2012) both note the lack of provisions for external participation and independent monitoring and review.</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Only Getting it Right is specifically designed for use by affected communities and their support organizations. Getting it Right was initially developed and piloted by R&amp;D in 2004– 2006.A steering committee, including UN Special Rapporteur on the Right to Health, Professor Paul Hunt, and human rights experts and practitioners from the Americas, Africa, Europe and Asia, helped develop the tool</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Community-based vs Company-based The Oxfam pilots demonstrate that an HRIA conducted for and with communities can be a highly effective way to identify, document and generate actionable recommendations to address human rights concerns</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Company led HRIAs start with due diligence concerns, and focus on risk mitigation for the companies. This distinct – and valid – purpose is unlikely to be satisfying from the standpoint of people affected by company activities and is likely to generate different proposals and incentives for action. The focus on due diligence will naturally emphasize company business risks over human rights risks for communities. Nevertheless, company-led HRIAs are a significant step forward, and provide an opportunity for a different kind of conversation between companies and communities</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Raises question: Could genuinely community-based HRIAs be supported by companies, or should they fund or promote independently supported community-based HRIAs to complement company due diligence processes?</w:t>
      </w:r>
    </w:p>
    <w:p w:rsidR="00000000" w:rsidDel="00000000" w:rsidP="00000000" w:rsidRDefault="00000000" w:rsidRPr="00000000" w14:paraId="0000000B">
      <w:pPr>
        <w:ind w:left="720" w:firstLine="0"/>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