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20" w:line="384.00000000000006" w:lineRule="auto"/>
        <w:rPr>
          <w:sz w:val="21"/>
          <w:szCs w:val="21"/>
        </w:rPr>
      </w:pPr>
      <w:r w:rsidDel="00000000" w:rsidR="00000000" w:rsidRPr="00000000">
        <w:rPr>
          <w:sz w:val="21"/>
          <w:szCs w:val="21"/>
          <w:rtl w:val="0"/>
        </w:rPr>
        <w:t xml:space="preserve">title: Kemp Vaclay, 2013 date: 2020-06-16 description: Notas author: LKG</w:t>
      </w:r>
    </w:p>
    <w:p w:rsidR="00000000" w:rsidDel="00000000" w:rsidP="00000000" w:rsidRDefault="00000000" w:rsidRPr="00000000" w14:paraId="00000002">
      <w:pPr>
        <w:pStyle w:val="Heading2"/>
        <w:keepNext w:val="0"/>
        <w:keepLines w:val="0"/>
        <w:pBdr>
          <w:top w:color="auto" w:space="6" w:sz="0" w:val="none"/>
          <w:bottom w:color="auto" w:space="0" w:sz="0" w:val="none"/>
        </w:pBdr>
        <w:spacing w:after="40" w:before="0" w:line="384.00000000000006" w:lineRule="auto"/>
        <w:rPr>
          <w:b w:val="1"/>
          <w:sz w:val="30"/>
          <w:szCs w:val="30"/>
        </w:rPr>
      </w:pPr>
      <w:bookmarkStart w:colFirst="0" w:colLast="0" w:name="_9aaqmtqu6euo" w:id="0"/>
      <w:bookmarkEnd w:id="0"/>
      <w:r w:rsidDel="00000000" w:rsidR="00000000" w:rsidRPr="00000000">
        <w:rPr>
          <w:b w:val="1"/>
          <w:sz w:val="30"/>
          <w:szCs w:val="30"/>
          <w:rtl w:val="0"/>
        </w:rPr>
        <w:t xml:space="preserve">type: page</w:t>
      </w:r>
    </w:p>
    <w:p w:rsidR="00000000" w:rsidDel="00000000" w:rsidP="00000000" w:rsidRDefault="00000000" w:rsidRPr="00000000" w14:paraId="00000003">
      <w:pPr>
        <w:rPr/>
      </w:pPr>
      <w:r w:rsidDel="00000000" w:rsidR="00000000" w:rsidRPr="00000000">
        <w:rPr>
          <w:rtl w:val="0"/>
        </w:rPr>
        <w:t xml:space="preserve">Deanna Kemp &amp; Frank Vanclay - Human rights and impact assessment: clarifying the connections in practice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The arena of ‘business and human rights’ has also expanded amid clashes between a rights-based approach to development and market-based notions of access and entitlement to resources (De Feyter 2005; Newell &amp; Wheeler 2006).</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Some cases that pushed the debates further include:</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A long-standing and emblematic case involves Shell and the Ogoni people in Nigeria </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Another notable case of human rights concern relates to Anvil Mining’s alleged complicity and logistical support of a 2004 massacre by the Congolese military in a village near its Katanga copper mine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In many industries, particularly those that require land acquisition and/or cause disruption to culture and heritage, instruments such as the ILO Convention 169, which concerns Indigenous and tribal peoples, and the UN Declaration on the Rights of Indigenous Peoples (UNDRIP) may be relevant. These instruments bring into frame the issue of ‘free prior and informed consent’ (FPIC) as a primary tool for securing and protecting Indigenous peoples’ rights.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While some companies and industry organisations have indicated ‘in principle’ support for these instruments (e.g. Rio Tinto 2012; ICMM 2011), FPIC remains highly contested in terms of how it is interpreted and applied in the business arena (Esteves et al. 2012; Hanna &amp; Vanclay 2013). </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FPIC does not form part of the UNGP’s ‘minimum standard’</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right of water wasn't stated outright because writers of the UNDH thought it was obvious, but as extractive industries have developed, so has the literature on it. An interesting parallel could be made regarding social media and communication technologies since the writers of UNDH could have not known how these would develop.</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One of the most signiﬁcant developments has been the 2011 revision of the OECD Guidelines for Multinational Enterprises. The Guidelines, which were originally adopted in 1976, apply to the current now 34 OECD member states, and outline what these governments expect of business. The 2011 revision aligns with the UNGP and includes a new chapter on human rights with reference to ‘due diligence’ – a concept embedded within the UNGP, which we elaborate below. The European Union has also endorsed the UNGP, and invited Member States to develop national plans for implementing the UNGP by the end of 2012</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 number of voluntary schemes have also aligned with the UNGP. The ISO 26000 Guidance on Social Responsibility (ISO 2010), for example, was revised to be consistent with the intent and substance of the UNGP (Atler 2011). The UN’s ﬂagship business and human rights scheme, the UN Global Compact (which was established and overseen by Ruggie a decade earlier) has released a guidance tool about the UNGP to support and enhance their implementation by businesses (UNGC 2011). The Ofﬁce of the UN Ofﬁce for the High Commissioner on Human Rights (2011) has also released an Interpretive Guide, providing guidance on the business responsibility to respect human rights.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In the domain of business, the notion of human rights due diligence is as much routine as it is revolutionary. It is routine in the sense that businesses customarily conduct due diligence to satisfy themselves that a proposed business action, transaction or acquisition has no hidden risks to the business. It is revolutionary in the sense that instead of only considering risks to the business, human rights due diligence requires the business to consider risks to people.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Human rights impact assessment (HRIA) differs from SIA in the sense that it proceeds from a clear starting point of the internationally recognised rights, whereas SIA proceeds following a scoping process whereby all stakeholders (including the affected communities) nominate key issues in conjunction with the expert opinion of the assessor in terms of what the key issues might be based on experience in similar cases elsewhere and a conceptual understanding.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Shift from stakeholders to rights holders: </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No longer are Stakeholders’ the dominant theoretical construct, but rather ‘rights holders’, ‘duty-bearers’ and ‘responsible parties’ are now central to the expanded notion of CSR.</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The risk of an integrated impact assessment:  Issues of expertise aside, an integrated assessment raises other issues in a multi-disciplinary impact assessment frame. SIA has traditionally been the weaker impact assessment discipline (Burdge 2002; Maassarani et al. 2007), largely because of the challenge of deﬁning, predicting and measuring social change and impact, in addition to legal and regulatory frameworks that are persistently weak or ineffectual in terms of social impact (Esteves et al. 2012). In integrated mode, human rights may ﬁnd itself ‘competing for space’ in an already weak area of impact assessment practice</w:t>
      </w:r>
    </w:p>
    <w:p w:rsidR="00000000" w:rsidDel="00000000" w:rsidP="00000000" w:rsidRDefault="00000000" w:rsidRPr="00000000" w14:paraId="00000013">
      <w:pPr>
        <w:ind w:left="0" w:firstLine="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