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20" w:line="384.00000000000006" w:lineRule="auto"/>
        <w:rPr>
          <w:sz w:val="21"/>
          <w:szCs w:val="21"/>
        </w:rPr>
      </w:pPr>
      <w:r w:rsidDel="00000000" w:rsidR="00000000" w:rsidRPr="00000000">
        <w:rPr>
          <w:sz w:val="21"/>
          <w:szCs w:val="21"/>
          <w:rtl w:val="0"/>
        </w:rPr>
        <w:t xml:space="preserve">title: McCorquodale, 2017 date: 2020-06-016 description: Notas author: LKG</w:t>
      </w:r>
    </w:p>
    <w:p w:rsidR="00000000" w:rsidDel="00000000" w:rsidP="00000000" w:rsidRDefault="00000000" w:rsidRPr="00000000" w14:paraId="00000002">
      <w:pPr>
        <w:pStyle w:val="Heading2"/>
        <w:keepNext w:val="0"/>
        <w:keepLines w:val="0"/>
        <w:pBdr>
          <w:top w:color="auto" w:space="6" w:sz="0" w:val="none"/>
          <w:bottom w:color="auto" w:space="0" w:sz="0" w:val="none"/>
        </w:pBdr>
        <w:spacing w:after="40" w:before="0" w:line="384.00000000000006" w:lineRule="auto"/>
        <w:rPr>
          <w:b w:val="1"/>
          <w:sz w:val="30"/>
          <w:szCs w:val="30"/>
        </w:rPr>
      </w:pPr>
      <w:bookmarkStart w:colFirst="0" w:colLast="0" w:name="_9aaqmtqu6euo" w:id="0"/>
      <w:bookmarkEnd w:id="0"/>
      <w:r w:rsidDel="00000000" w:rsidR="00000000" w:rsidRPr="00000000">
        <w:rPr>
          <w:b w:val="1"/>
          <w:sz w:val="30"/>
          <w:szCs w:val="30"/>
          <w:rtl w:val="0"/>
        </w:rPr>
        <w:t xml:space="preserve">type: page</w:t>
      </w:r>
    </w:p>
    <w:p w:rsidR="00000000" w:rsidDel="00000000" w:rsidP="00000000" w:rsidRDefault="00000000" w:rsidRPr="00000000" w14:paraId="00000003">
      <w:pPr>
        <w:rPr/>
      </w:pPr>
      <w:r w:rsidDel="00000000" w:rsidR="00000000" w:rsidRPr="00000000">
        <w:rPr>
          <w:rtl w:val="0"/>
        </w:rPr>
        <w:t xml:space="preserve">Robert McCORQUODALE, Lise SMIT, Stuart NEELY, and Robin BROOKS - Human Rights Due Diligence in Law and Practice: Good Practices and Challenges for Business Enterprises.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There is limited information available as to how companies are actually conducting HRDD consistent with their responsibility to respect human rights under the GPs. This article provides much-needed detail – based on empirical research through surveys and interviews – as to what a widespread range of companies are doing in this area, and innovatively analyses these data in the context of current legal developments.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GP does not define HRDD but the OHCHR did in 2012 ( Ofﬁce of the UN High Commissioner for Human Rights, The Corporate Responsibility to Respect Human Rights: An Interpretive Guide):</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Such a measure of prudence, activity, or assiduity, as is properly to be expected from,ordinarily exercised by,a reasonable and prudent[person or enterprise]under the particular circumstances; not measured by any absolute standard, but depending on the relative facts of the special case. In the context of the Guiding Principles, human rights due diligence comprises an ongoing management process that a reasonable and prudent enterprise needs to undertake, in light of its circumstances (including sector, operating context, size and similar factors) to meet its responsibility to respect human rights.</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This deﬁnition is helpful in one respect: it situates the term within the general legal approach to due diligence across most jurisdictions, which is to see due diligence within the tort law language of a reasonable or prudent person. However, this OHCHR deﬁnition leaves uncertainty how this standard is to be applied. </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The GPs do seem to establish that ‘human rights impacts’ of companies should be interpreted in the same way as ‘human rights violations.’ While the GPs do not equate ‘impacts’ with legal liability for companies, they emphasize that simply having a HRDD process does not mean that there is no consequent legal liability.</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HRDD differs from business management due diligence in a few prominent ways. HRDD is about human rights impacts and not solely about enterprise-related business risks.</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HRDD is not company (or even corporate group) speciﬁc. It expects, as seen in Principle 13, every business to consider the human rights impacts not only of its own operations but also of third parties with whom it is directly linked in its business relationships</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A </w:t>
      </w:r>
      <w:hyperlink r:id="rId6">
        <w:r w:rsidDel="00000000" w:rsidR="00000000" w:rsidRPr="00000000">
          <w:rPr>
            <w:color w:val="1155cc"/>
            <w:u w:val="single"/>
            <w:rtl w:val="0"/>
          </w:rPr>
          <w:t xml:space="preserve">recently adopted French law</w:t>
        </w:r>
      </w:hyperlink>
      <w:r w:rsidDel="00000000" w:rsidR="00000000" w:rsidRPr="00000000">
        <w:rPr>
          <w:rtl w:val="0"/>
        </w:rPr>
        <w:t xml:space="preserve"> (2017)</w:t>
      </w:r>
      <w:r w:rsidDel="00000000" w:rsidR="00000000" w:rsidRPr="00000000">
        <w:rPr>
          <w:rtl w:val="0"/>
        </w:rPr>
        <w:t xml:space="preserve"> may overcome some of the above limitations by speciﬁcally requiring human rights due diligence of all companies over a certain size, and to publish annual vigilance plans.</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Similar laws are being considered in other jurisdictions such as Switzerlandand the Netherlands.</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HRDD beingdefined by legal claims?</w:t>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Two cases brought California concerned allegations that companies failed to take adequate steps to address human rights abuses in their supply chains.</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A UK court has taken into account a company’s adoption of the Voluntary Principles on Security and Human Rights as part of the standard to which the company should be held, as ‘something more than lip-service to those Principles is demanded’ -&gt; Interesting case to look into: </w:t>
      </w:r>
      <w:hyperlink r:id="rId7">
        <w:r w:rsidDel="00000000" w:rsidR="00000000" w:rsidRPr="00000000">
          <w:rPr>
            <w:color w:val="1155cc"/>
            <w:u w:val="single"/>
            <w:rtl w:val="0"/>
          </w:rPr>
          <w:t xml:space="preserve">Vilca v Xstrata Limited and Compania Minera Antapaccay</w:t>
        </w:r>
      </w:hyperlink>
      <w:r w:rsidDel="00000000" w:rsidR="00000000" w:rsidRPr="00000000">
        <w:rPr>
          <w:rtl w:val="0"/>
        </w:rPr>
        <w:t xml:space="preserve"> (miners in Peru that were held by police while protesting)</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The survey results show a signiﬁcant difference between the various sectors as to whether they had ever undertaken a HRD process.Over 70 Percent Of Companies In mining, and pharmaceutical sectors had done so. In contrast, around half of respondents in the energy and technology sectors and 57.15 per cent in the ﬁnancial sector have never conducted such a process.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The survey results strongly suggest that where dedicated HRDD is undertaken, human rights are more likely to be detected than during non-speciﬁc human rights processes. Where human rights are indirectly taken into consideration through other due diligence processes, such as for labour, and health and safety issues, adverse human rights impacts are signiﬁcantly less likely to be identiﬁed.</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The method most commonly used by respondents across sectors for identifying human rights impacts were desktop research and studies, including internet searches, sanctions lists and other database searches, media and non-governmental organizations (NGO) reports and high-risk country research. Italsoincludedareview Of Company Policies And training records, legislation, industry guidance and best practice documents. The second most prominent method employed to identify human rights impacts was an audit, whether internal or external.</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In our survey it is clear that some sectors only considered a few stakeholders. In particular, the technology sector had a very limited view of its stakeholders. </w:t>
      </w:r>
      <w:r w:rsidDel="00000000" w:rsidR="00000000" w:rsidRPr="00000000">
        <w:rPr>
          <w:b w:val="1"/>
          <w:rtl w:val="0"/>
        </w:rPr>
        <w:t xml:space="preserve">This conﬁrms a concern that ‘many (though not all) ICT companies consistently undervalue [stakeholders]’. Engagement With Rights-holders maybe particularly challenging the information and communications technology (ICT) sector because there may be ‘hundreds of millions (or even billions) of users spread across the world</w:t>
      </w:r>
      <w:r w:rsidDel="00000000" w:rsidR="00000000" w:rsidRPr="00000000">
        <w:rPr>
          <w:rtl w:val="0"/>
        </w:rPr>
        <w:t xml:space="preserve"> using diverse products, services, technologies, and applications in vastly different human rights environments’</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Addressing this challenge: BSR and Centre forDemocracy and Technology, ‘Legitimate and Meaningful, Stakeholder Engagement Human Rights Due Diligence: Challenges and Solutions for ICT Companies’ (September 2014)</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HRDD is similar to due diligence in other legal contexts in that it is an objective standard by which a defendant can show compliance with a certain duty of care, and it is a contextual enquiry, which takes into account what the reasonable or prudent company knew or ought to have known in the circumstances. However, HRDD is different from other due diligence in that it focuses on the human rights impact of the company's activities and not just on the business risk.</w:t>
      </w: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orporatejustice.org/news/%20393-france-adopts-corporate-duty-of-vigilance-law-a-%EF%AC%81rst-historic-step-towards-better-human-rights-and-environmentalprotection" TargetMode="External"/><Relationship Id="rId7" Type="http://schemas.openxmlformats.org/officeDocument/2006/relationships/hyperlink" Target="https://www.blackstonechambers.com/news/vilca-ors-v-xstrata-limited-and-compania-minera-antapaccay-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