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07611" w:rsidRDefault="00BB141D">
      <w:pPr>
        <w:spacing w:after="220" w:line="384" w:lineRule="auto"/>
        <w:rPr>
          <w:sz w:val="21"/>
          <w:szCs w:val="21"/>
        </w:rPr>
      </w:pPr>
      <w:r>
        <w:rPr>
          <w:sz w:val="21"/>
          <w:szCs w:val="21"/>
        </w:rPr>
        <w:t xml:space="preserve">title: </w:t>
      </w:r>
      <w:proofErr w:type="spellStart"/>
      <w:r>
        <w:rPr>
          <w:sz w:val="21"/>
          <w:szCs w:val="21"/>
        </w:rPr>
        <w:t>Miretski</w:t>
      </w:r>
      <w:proofErr w:type="spellEnd"/>
      <w:r>
        <w:rPr>
          <w:sz w:val="21"/>
          <w:szCs w:val="21"/>
        </w:rPr>
        <w:t xml:space="preserve">, 2011 date: 2020-06-17 description: </w:t>
      </w:r>
      <w:proofErr w:type="spellStart"/>
      <w:r>
        <w:rPr>
          <w:sz w:val="21"/>
          <w:szCs w:val="21"/>
        </w:rPr>
        <w:t>Notas</w:t>
      </w:r>
      <w:proofErr w:type="spellEnd"/>
      <w:r>
        <w:rPr>
          <w:sz w:val="21"/>
          <w:szCs w:val="21"/>
        </w:rPr>
        <w:t xml:space="preserve"> author: LKG</w:t>
      </w:r>
    </w:p>
    <w:p w14:paraId="00000002" w14:textId="77777777" w:rsidR="00107611" w:rsidRDefault="00BB141D">
      <w:pPr>
        <w:pStyle w:val="Heading2"/>
        <w:keepNext w:val="0"/>
        <w:keepLines w:val="0"/>
        <w:pBdr>
          <w:top w:val="none" w:sz="0" w:space="6" w:color="auto"/>
        </w:pBdr>
        <w:spacing w:before="0" w:after="40" w:line="384" w:lineRule="auto"/>
        <w:rPr>
          <w:b/>
          <w:sz w:val="30"/>
          <w:szCs w:val="30"/>
        </w:rPr>
      </w:pPr>
      <w:bookmarkStart w:id="0" w:name="_9aaqmtqu6euo" w:colFirst="0" w:colLast="0"/>
      <w:bookmarkEnd w:id="0"/>
      <w:r>
        <w:rPr>
          <w:b/>
          <w:sz w:val="30"/>
          <w:szCs w:val="30"/>
        </w:rPr>
        <w:t>type: page</w:t>
      </w:r>
    </w:p>
    <w:p w14:paraId="00000003" w14:textId="77777777" w:rsidR="00107611" w:rsidRDefault="00BB141D">
      <w:proofErr w:type="spellStart"/>
      <w:r>
        <w:t>Miretski</w:t>
      </w:r>
      <w:proofErr w:type="spellEnd"/>
      <w:r>
        <w:t xml:space="preserve"> et </w:t>
      </w:r>
      <w:proofErr w:type="gramStart"/>
      <w:r>
        <w:t>al  -</w:t>
      </w:r>
      <w:proofErr w:type="gramEnd"/>
      <w:r>
        <w:t xml:space="preserve"> The UN ‘Norms on the Responsibility of Transnational Corporations and Other Business Enterprises with Regards to Human Rights’: A Requiem</w:t>
      </w:r>
    </w:p>
    <w:p w14:paraId="00000004" w14:textId="77777777" w:rsidR="00107611" w:rsidRDefault="00BB141D">
      <w:pPr>
        <w:numPr>
          <w:ilvl w:val="0"/>
          <w:numId w:val="1"/>
        </w:numPr>
      </w:pPr>
      <w:r>
        <w:t>In 1998 the Working Group on the Working Methods and Activities of Transnational Corporations was es</w:t>
      </w:r>
      <w:r>
        <w:t>tablished by a Sub-Commission of the UN Commission on Human Rights</w:t>
      </w:r>
    </w:p>
    <w:p w14:paraId="00000005" w14:textId="77777777" w:rsidR="00107611" w:rsidRDefault="00BB141D">
      <w:pPr>
        <w:numPr>
          <w:ilvl w:val="0"/>
          <w:numId w:val="1"/>
        </w:numPr>
      </w:pPr>
      <w:r>
        <w:t xml:space="preserve"> The final detailed document, and its commentary, were approved in August 2003 by the Sub-Commission. The document was named the Norms on the Responsibilities of Transnational Corporations </w:t>
      </w:r>
      <w:r>
        <w:t>and Other Business Enterprises with Regard to Human Rights (hereinafter Norms).</w:t>
      </w:r>
    </w:p>
    <w:p w14:paraId="00000006" w14:textId="77777777" w:rsidR="00107611" w:rsidRDefault="00BB141D">
      <w:pPr>
        <w:numPr>
          <w:ilvl w:val="0"/>
          <w:numId w:val="1"/>
        </w:numPr>
      </w:pPr>
      <w:r>
        <w:t>The draft Norms represented</w:t>
      </w:r>
      <w:r>
        <w:rPr>
          <w:b/>
        </w:rPr>
        <w:t xml:space="preserve"> a significant departure from the prevailing practice among international </w:t>
      </w:r>
      <w:proofErr w:type="spellStart"/>
      <w:r>
        <w:rPr>
          <w:b/>
        </w:rPr>
        <w:t>organisations</w:t>
      </w:r>
      <w:proofErr w:type="spellEnd"/>
      <w:r>
        <w:rPr>
          <w:b/>
        </w:rPr>
        <w:t xml:space="preserve"> when dealing with the </w:t>
      </w:r>
      <w:proofErr w:type="gramStart"/>
      <w:r>
        <w:rPr>
          <w:b/>
        </w:rPr>
        <w:t>often difficult</w:t>
      </w:r>
      <w:proofErr w:type="gramEnd"/>
      <w:r>
        <w:rPr>
          <w:b/>
        </w:rPr>
        <w:t xml:space="preserve"> relationship between bu</w:t>
      </w:r>
      <w:r>
        <w:rPr>
          <w:b/>
        </w:rPr>
        <w:t>siness and human rights: that of voluntary compliance.</w:t>
      </w:r>
      <w:r>
        <w:t xml:space="preserve"> The Norms were designed to constitute a 'non-voluntary', comprehensive framework, creating direct obligations for TNCs and supplemented by a rigid enforcement mechanism including the monitoring by non-</w:t>
      </w:r>
      <w:r>
        <w:t xml:space="preserve">state actors (NGOs and TNCs themselves). </w:t>
      </w:r>
    </w:p>
    <w:p w14:paraId="00000007" w14:textId="77777777" w:rsidR="00107611" w:rsidRDefault="00BB141D">
      <w:pPr>
        <w:numPr>
          <w:ilvl w:val="0"/>
          <w:numId w:val="1"/>
        </w:numPr>
      </w:pPr>
      <w:r>
        <w:t xml:space="preserve">The Norms were eventually abandoned in 2005 (same year </w:t>
      </w:r>
      <w:proofErr w:type="spellStart"/>
      <w:r>
        <w:t>Ruggie</w:t>
      </w:r>
      <w:proofErr w:type="spellEnd"/>
      <w:r>
        <w:t xml:space="preserve"> was </w:t>
      </w:r>
      <w:proofErr w:type="gramStart"/>
      <w:r>
        <w:t>appointed)and</w:t>
      </w:r>
      <w:proofErr w:type="gramEnd"/>
      <w:r>
        <w:t xml:space="preserve"> the task of regulating transnational corporate accountability was transferred to other UN organs.</w:t>
      </w:r>
    </w:p>
    <w:p w14:paraId="00000008" w14:textId="77777777" w:rsidR="00107611" w:rsidRDefault="00BB141D">
      <w:pPr>
        <w:numPr>
          <w:ilvl w:val="0"/>
          <w:numId w:val="1"/>
        </w:numPr>
      </w:pPr>
      <w:r>
        <w:t>Perhaps their main novelty, and poss</w:t>
      </w:r>
      <w:r>
        <w:t>ibly the main reason for the subsequent controversy over the Norms, was the fact that the obligations were to be imposed directly on TNCs, rather than states being requested or required to implement legislation to regulate the actions of the TNCs within th</w:t>
      </w:r>
      <w:r>
        <w:t>eir jurisdiction.</w:t>
      </w:r>
    </w:p>
    <w:p w14:paraId="00000009" w14:textId="77777777" w:rsidR="00107611" w:rsidRDefault="00BB141D">
      <w:pPr>
        <w:numPr>
          <w:ilvl w:val="0"/>
          <w:numId w:val="1"/>
        </w:numPr>
      </w:pPr>
      <w:r>
        <w:t>Three reasons that led to the eventual abandoning of draft norms:</w:t>
      </w:r>
    </w:p>
    <w:p w14:paraId="0000000A" w14:textId="77777777" w:rsidR="00107611" w:rsidRDefault="00BB141D">
      <w:pPr>
        <w:numPr>
          <w:ilvl w:val="1"/>
          <w:numId w:val="1"/>
        </w:numPr>
      </w:pPr>
      <w:r>
        <w:t>Firstly, the fact that a large part of the Norms constituted a further development of existing international norms, rather than actual codification of existing internationa</w:t>
      </w:r>
      <w:r>
        <w:t xml:space="preserve">l law, enabled critics of the Norms to argue their incompatibility, as legal analogies, </w:t>
      </w:r>
      <w:proofErr w:type="spellStart"/>
      <w:r>
        <w:t>witb</w:t>
      </w:r>
      <w:proofErr w:type="spellEnd"/>
      <w:r>
        <w:t xml:space="preserve"> otherwise positivist foundations of international law. </w:t>
      </w:r>
    </w:p>
    <w:p w14:paraId="0000000B" w14:textId="77777777" w:rsidR="00107611" w:rsidRDefault="00BB141D">
      <w:pPr>
        <w:numPr>
          <w:ilvl w:val="1"/>
          <w:numId w:val="1"/>
        </w:numPr>
      </w:pPr>
      <w:r>
        <w:t>Secondly, the fact that the Norms assigned an important legal role to TNCs (and MNCs — Multinational Corpor</w:t>
      </w:r>
      <w:r>
        <w:t xml:space="preserve">ations) rather than to the traditional addressees of international law, the states, was problematic. </w:t>
      </w:r>
    </w:p>
    <w:p w14:paraId="0000000C" w14:textId="77777777" w:rsidR="00107611" w:rsidRDefault="00BB141D">
      <w:pPr>
        <w:numPr>
          <w:ilvl w:val="1"/>
          <w:numId w:val="1"/>
        </w:numPr>
      </w:pPr>
      <w:r>
        <w:t>Finally, inherent contradictions within the Norms themselves and a vagueness in their overall nature and applicability helped to foster opposition against</w:t>
      </w:r>
      <w:r>
        <w:t xml:space="preserve"> their adoption.</w:t>
      </w:r>
    </w:p>
    <w:p w14:paraId="0000000D" w14:textId="77777777" w:rsidR="00107611" w:rsidRDefault="00BB141D">
      <w:pPr>
        <w:numPr>
          <w:ilvl w:val="0"/>
          <w:numId w:val="1"/>
        </w:numPr>
      </w:pPr>
      <w:r>
        <w:t xml:space="preserve">Under 'General Obligations' in Part A of the Norms were listed the following responsibilities: the </w:t>
      </w:r>
      <w:r>
        <w:rPr>
          <w:b/>
        </w:rPr>
        <w:t>duty of due diligence</w:t>
      </w:r>
      <w:r>
        <w:t xml:space="preserve"> to ensure that business activities do not directly or indirectly contribute to human rights abuses; the duty to ensure</w:t>
      </w:r>
      <w:r>
        <w:t xml:space="preserve"> that corporations do not benefit from such abuses; the duty to refrain from undermining efforts to promote human rights; the duty of a corporation to use its influence to promote human rights; </w:t>
      </w:r>
      <w:r>
        <w:rPr>
          <w:b/>
        </w:rPr>
        <w:t>the obligation to assess the human rights impact of the corpor</w:t>
      </w:r>
      <w:r>
        <w:rPr>
          <w:b/>
        </w:rPr>
        <w:t>ation</w:t>
      </w:r>
      <w:r>
        <w:t>; and the overall responsibility to avoid complicity in human rights abuses.</w:t>
      </w:r>
    </w:p>
    <w:p w14:paraId="0000000E" w14:textId="77777777" w:rsidR="00107611" w:rsidRDefault="00BB141D">
      <w:pPr>
        <w:numPr>
          <w:ilvl w:val="0"/>
          <w:numId w:val="1"/>
        </w:numPr>
      </w:pPr>
      <w:r>
        <w:lastRenderedPageBreak/>
        <w:t xml:space="preserve">The Norms' overall impact, however, would have been more radical than Article 1 suggests: </w:t>
      </w:r>
    </w:p>
    <w:p w14:paraId="0000000F" w14:textId="77777777" w:rsidR="00107611" w:rsidRDefault="00BB141D">
      <w:pPr>
        <w:numPr>
          <w:ilvl w:val="1"/>
          <w:numId w:val="1"/>
        </w:numPr>
      </w:pPr>
      <w:r>
        <w:t>they essentially relegated states to the background in the attempt to protect human</w:t>
      </w:r>
      <w:r>
        <w:t xml:space="preserve"> rights in the transnational business context.</w:t>
      </w:r>
    </w:p>
    <w:p w14:paraId="00000010" w14:textId="77777777" w:rsidR="00107611" w:rsidRDefault="00BB141D">
      <w:pPr>
        <w:numPr>
          <w:ilvl w:val="1"/>
          <w:numId w:val="1"/>
        </w:numPr>
      </w:pPr>
      <w:r>
        <w:t>instead of limiting TNCs' obligations to civil and political rights only, the Norms included both civil rights and collective social, economic and cultural rights of the second and third generations of human r</w:t>
      </w:r>
      <w:r>
        <w:t xml:space="preserve">ights. </w:t>
      </w:r>
    </w:p>
    <w:p w14:paraId="00000011" w14:textId="77777777" w:rsidR="00107611" w:rsidRDefault="00BB141D">
      <w:pPr>
        <w:numPr>
          <w:ilvl w:val="1"/>
          <w:numId w:val="1"/>
        </w:numPr>
      </w:pPr>
      <w:r>
        <w:t>Used the notion of a</w:t>
      </w:r>
      <w:r>
        <w:rPr>
          <w:b/>
        </w:rPr>
        <w:t xml:space="preserve"> 'sphere of influence'</w:t>
      </w:r>
      <w:r>
        <w:t xml:space="preserve">, and thus responsibility, derived from the corporate social responsibility (CSR) movement. This aspect of the Norms has also been </w:t>
      </w:r>
      <w:proofErr w:type="spellStart"/>
      <w:r>
        <w:t>criticised</w:t>
      </w:r>
      <w:proofErr w:type="spellEnd"/>
      <w:r>
        <w:t xml:space="preserve"> for not being clear enough, and being ambiguous</w:t>
      </w:r>
    </w:p>
    <w:p w14:paraId="00000012" w14:textId="77777777" w:rsidR="00107611" w:rsidRDefault="00BB141D">
      <w:pPr>
        <w:numPr>
          <w:ilvl w:val="0"/>
          <w:numId w:val="1"/>
        </w:numPr>
      </w:pPr>
      <w:r>
        <w:t xml:space="preserve">While the Norms </w:t>
      </w:r>
      <w:r>
        <w:t xml:space="preserve">were supposed to increase corporate responsibility for human rights compliance through the introduction, implementation and enforcement of binding human rights principles, thus following an enforcement approach, </w:t>
      </w:r>
      <w:proofErr w:type="spellStart"/>
      <w:r>
        <w:t>Ruggie's</w:t>
      </w:r>
      <w:proofErr w:type="spellEnd"/>
      <w:r>
        <w:t xml:space="preserve"> framework follows the management ap</w:t>
      </w:r>
      <w:r>
        <w:t xml:space="preserve">proach. </w:t>
      </w:r>
      <w:proofErr w:type="spellStart"/>
      <w:r>
        <w:rPr>
          <w:b/>
        </w:rPr>
        <w:t>Ruggie's</w:t>
      </w:r>
      <w:proofErr w:type="spellEnd"/>
      <w:r>
        <w:rPr>
          <w:b/>
        </w:rPr>
        <w:t xml:space="preserve"> strategic choice was to create a framework acceptable to businesses and states. Consequently, he included these actors in the drafting process, considering them crucial and fundamental for its success, while limiting the role and importanc</w:t>
      </w:r>
      <w:r>
        <w:rPr>
          <w:b/>
        </w:rPr>
        <w:t>e of representatives from civil society.</w:t>
      </w:r>
    </w:p>
    <w:p w14:paraId="00000013" w14:textId="77777777" w:rsidR="00107611" w:rsidRDefault="00BB141D">
      <w:pPr>
        <w:numPr>
          <w:ilvl w:val="0"/>
          <w:numId w:val="1"/>
        </w:numPr>
      </w:pPr>
      <w:r>
        <w:t>As mentioned, the Norms blurred the line between public and private law, and moved in the direction of transnational law, by elevating TNCs to subjects of international law. In that they went further than other init</w:t>
      </w:r>
      <w:r>
        <w:t xml:space="preserve">iatives dealing with the relations between business and human rights. Backer believed that the Norms </w:t>
      </w:r>
      <w:proofErr w:type="spellStart"/>
      <w:r>
        <w:t>freated</w:t>
      </w:r>
      <w:proofErr w:type="spellEnd"/>
      <w:r>
        <w:t xml:space="preserve"> the TNCs as subjects of international law, rather than as objects, a significant modification which altered the regulatory power between state and </w:t>
      </w:r>
      <w:r>
        <w:t>non-state actors. This character of the Norms was largely resisted by states. They questioned the very essence of the state-</w:t>
      </w:r>
      <w:proofErr w:type="spellStart"/>
      <w:r>
        <w:t>centred</w:t>
      </w:r>
      <w:proofErr w:type="spellEnd"/>
      <w:r>
        <w:t xml:space="preserve"> doctrine' through imposing direct legal obligations on TNCs and structuring a role for TNCs that bypassed the states and sub</w:t>
      </w:r>
      <w:r>
        <w:t xml:space="preserve">jected them to supranational regulation through non-state enforcement mechanisms. </w:t>
      </w:r>
    </w:p>
    <w:sectPr w:rsidR="001076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D60BA"/>
    <w:multiLevelType w:val="multilevel"/>
    <w:tmpl w:val="2BB06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611"/>
    <w:rsid w:val="00107611"/>
    <w:rsid w:val="00BB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8BAED2-D5BD-4D78-AD3B-0C89F1BD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Laura</cp:lastModifiedBy>
  <cp:revision>2</cp:revision>
  <dcterms:created xsi:type="dcterms:W3CDTF">2020-06-17T15:36:00Z</dcterms:created>
  <dcterms:modified xsi:type="dcterms:W3CDTF">2020-06-17T15:36:00Z</dcterms:modified>
</cp:coreProperties>
</file>