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13 — MARKETING E COMUNICAÇÃO</w:t>
      </w:r>
    </w:p>
    <w:p>
      <w:pPr>
        <w:spacing w:before="100" w:after="40"/>
      </w:pPr>
      <w:r>
        <w:rPr>
          <w:b/>
          <w:color w:val="17365D"/>
          <w:sz w:val="20"/>
        </w:rPr>
        <w:t>RESUMO PROFISSIONAL</w:t>
      </w:r>
    </w:p>
    <w:p>
      <w:pPr>
        <w:spacing w:after="60"/>
      </w:pPr>
      <w:r>
        <w:t>Profissional criativo(a), interessado(a) em comunicação, conteúdo e ações que aproximem marcas e públicos.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Informe formação e cursos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Redação; redes sociais; design; análise de resultados — apenas os que domina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Links de campanhas, peças, textos ou portfólio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