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18 — TRANSIÇÃO DE CARREIRA</w:t>
      </w:r>
    </w:p>
    <w:p>
      <w:pPr>
        <w:spacing w:before="100" w:after="40"/>
      </w:pPr>
      <w:r>
        <w:rPr>
          <w:b/>
          <w:color w:val="17365D"/>
          <w:sz w:val="20"/>
        </w:rPr>
        <w:t>RESUMO PROFISSIONAL</w:t>
      </w:r>
    </w:p>
    <w:p>
      <w:pPr>
        <w:spacing w:after="60"/>
      </w:pPr>
      <w:r>
        <w:t>Profissional em transição para [área], aproveitando competências transferíveis como [competências] e investindo em formação específica.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Informe formação anterior e cursos na nova área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Competências transferíveis e ferramentas da área desejada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Destaque projetos, cursos e experiências que se conectam à nova área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