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19 — AUTÔNOMO E FREELANCER</w:t>
      </w:r>
    </w:p>
    <w:p>
      <w:pPr>
        <w:spacing w:before="100" w:after="40"/>
      </w:pPr>
      <w:r>
        <w:rPr>
          <w:b/>
          <w:color w:val="17365D"/>
          <w:sz w:val="20"/>
        </w:rPr>
        <w:t>APRESENTAÇÃO PROFISSIONAL</w:t>
      </w:r>
    </w:p>
    <w:p>
      <w:pPr>
        <w:spacing w:after="60"/>
      </w:pPr>
      <w:r>
        <w:t>Profissional independente com atuação em [serviço], oferecendo soluções em [especialidade] para clientes e projetos.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Cursos, certificações e formação relevante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Competências técnicas, gestão de prazos e comunicação com clientes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Inclua portfólio, tipos de projeto, escopo e resultados verificáveis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