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20 — ACADÊMICO E PESQUISA</w:t>
      </w:r>
    </w:p>
    <w:p>
      <w:pPr>
        <w:spacing w:before="100" w:after="40"/>
      </w:pPr>
      <w:r>
        <w:rPr>
          <w:b/>
          <w:color w:val="17365D"/>
          <w:sz w:val="20"/>
        </w:rPr>
        <w:t>OBJETIVO ACADÊMICO</w:t>
      </w:r>
    </w:p>
    <w:p>
      <w:pPr>
        <w:spacing w:after="60"/>
      </w:pPr>
      <w:r>
        <w:t>Interesse em oportunidades acadêmicas, pesquisa ou extensão relacionadas a [tema], com disposição para aprofundar conhecimentos.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Curso, instituição, período e orientador(a), se aplicável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Métodos, ferramentas, idiomas e competências de pesquisa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Projetos, monitorias, eventos, publicações e iniciação científica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