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2C2C2A"/>
          <w:sz w:val="112"/>
          <w:szCs w:val="112"/>
        </w:rPr>
        <w:t xml:space="preserve">AEM Environment Setup</w:t>
      </w:r>
    </w:p>
    <w:p>
      <w:pPr>
        <w:spacing w:after="400"/>
        <w:jc w:val="center"/>
      </w:pPr>
      <w:r>
        <w:rPr>
          <w:color w:val="5F5E5A"/>
          <w:sz w:val="72"/>
          <w:szCs w:val="72"/>
        </w:rPr>
        <w:t xml:space="preserve">Study Guide for Beginners</w:t>
      </w:r>
    </w:p>
    <w:p>
      <w:pPr>
        <w:spacing w:after="200"/>
        <w:jc w:val="center"/>
      </w:pPr>
      <w:r>
        <w:rPr>
          <w:i/>
          <w:iCs/>
          <w:color w:val="5F5E5A"/>
          <w:sz w:val="28"/>
          <w:szCs w:val="28"/>
        </w:rPr>
        <w:t xml:space="preserve">Building, running, and testing AEM code on your own machine before sending anything to the cloud.</w:t>
      </w:r>
    </w:p>
    <w:p>
      <w:pPr>
        <w:spacing w:before="4800"/>
      </w:pPr>
      <w:r>
        <w:t xml:space="preserve"/>
      </w:r>
    </w:p>
    <w:p>
      <w:pPr>
        <w:jc w:val="center"/>
      </w:pPr>
      <w:r>
        <w:rPr>
          <w:color w:val="5F5E5A"/>
          <w:sz w:val="22"/>
          <w:szCs w:val="22"/>
        </w:rPr>
        <w:t xml:space="preserve">Volume 4 of the AEM study material series.</w:t>
      </w:r>
    </w:p>
    <w:p>
      <w:r>
        <w:br w:type="page"/>
      </w:r>
    </w:p>
    <w:p>
      <w:pPr>
        <w:pStyle w:val="Heading1"/>
        <w:spacing w:after="240" w:before="24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180" w:before="360"/>
      </w:pPr>
      <w:r>
        <w:t xml:space="preserve">1. Introduction</w:t>
      </w:r>
    </w:p>
    <w:p>
      <w:pPr>
        <w:spacing w:after="120"/>
      </w:pPr>
      <w:r>
        <w:t xml:space="preserve">Now that we understand what AEM is, how Cloud Manager works, and the code quality standards, it's time to set up a local development environment.</w:t>
      </w:r>
    </w:p>
    <w:p>
      <w:pPr>
        <w:spacing w:after="120"/>
      </w:pPr>
      <w:r>
        <w:t xml:space="preserve">The goal here is to be able to develop, build, and test AEM code on your own machine before sending anything to the cloud.</w:t>
      </w:r>
    </w:p>
    <w:p>
      <w:pPr>
        <w:spacing w:after="120"/>
      </w:pPr>
      <w:r>
        <w:t xml:space="preserve">This is one of the most practical lessons in the certification.</w:t>
      </w:r>
    </w:p>
    <w:p>
      <w:pPr>
        <w:pStyle w:val="Heading2"/>
        <w:spacing w:after="120" w:before="240"/>
      </w:pPr>
      <w:r>
        <w:t xml:space="preserve">What this guide covers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three components of a local AEM environment.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Development tools you must install (Java, Node, Maven, Git).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Adobe I/O CLI and OAuth Server-to-Server authentication.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system organization and the QuickStart Jar.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to simulate content distribution between Author and Publish locally.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Setting up the local Dispatcher with Docker.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Maven project structure and module conventions.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 Init and the AEM Project Archetype.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practical troubleshooting checklist.</w:t>
      </w:r>
    </w:p>
    <w:p>
      <w:pPr>
        <w:spacing w:after="80" w:before="240"/>
        <w:jc w:val="center"/>
      </w:pPr>
      <w:r>
        <w:drawing>
          <wp:inline distT="0" distB="0" distL="0" distR="0">
            <wp:extent cx="552450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F5E5A"/>
          <w:sz w:val="20"/>
          <w:szCs w:val="20"/>
        </w:rPr>
        <w:t xml:space="preserve">Figure 1. A roadmap of every topic in this guide.</w:t>
      </w:r>
    </w:p>
    <w:p>
      <w:pPr>
        <w:pStyle w:val="Heading1"/>
        <w:pageBreakBefore/>
        <w:spacing w:after="180" w:before="360"/>
      </w:pPr>
      <w:r>
        <w:t xml:space="preserve">2. The three components</w:t>
      </w:r>
    </w:p>
    <w:p>
      <w:pPr>
        <w:spacing w:after="120"/>
      </w:pPr>
      <w:r>
        <w:t xml:space="preserve">A local AEM environment has three logical parts.</w:t>
      </w:r>
    </w:p>
    <w:p>
      <w:pPr>
        <w:pStyle w:val="Heading2"/>
        <w:spacing w:after="120" w:before="240"/>
      </w:pPr>
      <w:r>
        <w:t xml:space="preserve">The components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AEM Project — your custom code, configuration, and content.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Local AEM Runtime — a local version of the Author and Publish services.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Local Dispatcher Runtime — a local version of Apache HTTP Server with the Dispatcher module.</w:t>
      </w:r>
    </w:p>
    <w:p>
      <w:pPr>
        <w:spacing w:after="120"/>
      </w:pPr>
      <w:r>
        <w:t xml:space="preserve">Think of it as a miniature version of what runs in the cloud, all on your laptop.</w:t>
      </w:r>
    </w:p>
    <w:p>
      <w:pPr>
        <w:spacing w:after="120"/>
      </w:pPr>
      <w:r>
        <w:t xml:space="preserve">The goal is to validate everything locally before it goes through Cloud Manager.</w:t>
      </w:r>
    </w:p>
    <w:p>
      <w:pPr>
        <w:spacing w:after="80" w:before="240"/>
        <w:jc w:val="center"/>
      </w:pPr>
      <w:r>
        <w:drawing>
          <wp:inline distT="0" distB="0" distL="0" distR="0">
            <wp:extent cx="55245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F5E5A"/>
          <w:sz w:val="20"/>
          <w:szCs w:val="20"/>
        </w:rPr>
        <w:t xml:space="preserve">Figure 2. The three logical parts of a local AEM environment.</w:t>
      </w:r>
    </w:p>
    <w:p>
      <w:pPr>
        <w:pStyle w:val="Heading1"/>
        <w:pageBreakBefore/>
        <w:spacing w:after="180" w:before="360"/>
      </w:pPr>
      <w:r>
        <w:t xml:space="preserve">3. Development tools</w:t>
      </w:r>
    </w:p>
    <w:p>
      <w:pPr>
        <w:spacing w:after="120"/>
      </w:pPr>
      <w:r>
        <w:t xml:space="preserve">To work with AEM locally, you need four core tools.</w:t>
      </w:r>
    </w:p>
    <w:p>
      <w:pPr>
        <w:pStyle w:val="Heading2"/>
        <w:spacing w:after="120" w:before="240"/>
      </w:pPr>
      <w:r>
        <w:t xml:space="preserve">The four tools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Java JDK 21 — AEM is a Java application, and Java 21 is the recommended 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Node.js — required for front-end tooling and the Adobe I/O CLI.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Apache Maven — the build tool for all AEM projects.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 — source control.</w:t>
      </w:r>
    </w:p>
    <w:p>
      <w:pPr>
        <w:pStyle w:val="Heading2"/>
        <w:spacing w:after="120" w:before="240"/>
      </w:pPr>
      <w:r>
        <w:t xml:space="preserve">Verify each install</w:t>
      </w:r>
    </w:p>
    <w:p>
      <w:pPr>
        <w:spacing w:after="120"/>
      </w:pPr>
      <w:r>
        <w:t xml:space="preserve">After installing each one, always verify with a version command: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java -version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mvn -v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node --version</w:t>
      </w:r>
    </w:p>
    <w:p>
      <w:pPr>
        <w:spacing w:after="80" w:before="240"/>
        <w:jc w:val="center"/>
      </w:pPr>
      <w:r>
        <w:drawing>
          <wp:inline distT="0" distB="0" distL="0" distR="0">
            <wp:extent cx="55245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F5E5A"/>
          <w:sz w:val="20"/>
          <w:szCs w:val="20"/>
        </w:rPr>
        <w:t xml:space="preserve">Figure 3. The four core development tools and their verify commands.</w:t>
      </w:r>
    </w:p>
    <w:p>
      <w:pPr>
        <w:pStyle w:val="Heading1"/>
        <w:pageBreakBefore/>
        <w:spacing w:after="180" w:before="360"/>
      </w:pPr>
      <w:r>
        <w:t xml:space="preserve">4. Adobe I/O CLI</w:t>
      </w:r>
    </w:p>
    <w:p>
      <w:pPr>
        <w:spacing w:after="120"/>
      </w:pPr>
      <w:r>
        <w:t xml:space="preserve">The Adobe I/O CLI, known as aio, is a command-line tool that lets you interact with Adobe services.</w:t>
      </w:r>
    </w:p>
    <w:p>
      <w:pPr>
        <w:pStyle w:val="Heading2"/>
        <w:spacing w:after="120" w:before="240"/>
      </w:pPr>
      <w:r>
        <w:t xml:space="preserve">Installation</w:t>
      </w:r>
    </w:p>
    <w:p>
      <w:pPr>
        <w:spacing w:after="120"/>
      </w:pPr>
      <w:r>
        <w:t xml:space="preserve">You install it as a global npm package: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npm install -g @adobe/aio-cli</w:t>
      </w:r>
    </w:p>
    <w:p>
      <w:pPr>
        <w:pStyle w:val="Heading2"/>
        <w:spacing w:after="120" w:before="240"/>
      </w:pPr>
      <w:r>
        <w:t xml:space="preserve">Plugins</w:t>
      </w:r>
    </w:p>
    <w:p>
      <w:pPr>
        <w:spacing w:after="120"/>
      </w:pPr>
      <w:r>
        <w:t xml:space="preserve">Once installed, you add plugins for the services you need: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Manager plugin — manage pipelines, environments, and deployments.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AEM Rapid Development Environment (RDE) plugin — push code to a sandbox for fast iteration.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Asset Compute plugin — develop and test custom asset workers.</w:t>
      </w:r>
    </w:p>
    <w:p>
      <w:pPr>
        <w:pStyle w:val="Heading2"/>
        <w:spacing w:after="120" w:before="240"/>
      </w:pPr>
      <w:r>
        <w:t xml:space="preserve">Authentication</w:t>
      </w:r>
    </w:p>
    <w:p>
      <w:pPr>
        <w:spacing w:after="120"/>
      </w:pPr>
      <w:r>
        <w:t xml:space="preserve">Important: the old JWT authentication was removed in January 2025.</w:t>
      </w:r>
    </w:p>
    <w:p>
      <w:pPr>
        <w:spacing w:after="120"/>
      </w:pPr>
      <w:r>
        <w:t xml:space="preserve">The only supported method now is OAuth Server-to-Server, configured through the Adobe Developer Console.</w:t>
      </w:r>
    </w:p>
    <w:p>
      <w:pPr>
        <w:spacing w:after="80" w:before="240"/>
        <w:jc w:val="center"/>
      </w:pPr>
      <w:r>
        <w:drawing>
          <wp:inline distT="0" distB="0" distL="0" distR="0">
            <wp:extent cx="55245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F5E5A"/>
          <w:sz w:val="20"/>
          <w:szCs w:val="20"/>
        </w:rPr>
        <w:t xml:space="preserve">Figure 4. Install, plug in, and authenticate the Adobe I/O CLI.</w:t>
      </w:r>
    </w:p>
    <w:p>
      <w:pPr>
        <w:pStyle w:val="Heading1"/>
        <w:pageBreakBefore/>
        <w:spacing w:after="180" w:before="360"/>
      </w:pPr>
      <w:r>
        <w:t xml:space="preserve">5. File system organization</w:t>
      </w:r>
    </w:p>
    <w:p>
      <w:pPr>
        <w:spacing w:after="120"/>
      </w:pPr>
      <w:r>
        <w:t xml:space="preserve">Adobe recommends a specific folder structure for local development.</w:t>
      </w:r>
    </w:p>
    <w:p>
      <w:pPr>
        <w:pStyle w:val="Heading2"/>
        <w:spacing w:after="120" w:before="240"/>
      </w:pPr>
      <w:r>
        <w:t xml:space="preserve">Recommended structure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~/aem-sdk/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author/      → local Author service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publish/     → local Publish service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dispatcher/  → local Dispatcher Tools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~/code/&lt;project-name&gt;/  → your AEM Maven project</w:t>
      </w:r>
    </w:p>
    <w:p>
      <w:pPr>
        <w:spacing w:after="120"/>
      </w:pPr>
      <w:r>
        <w:t xml:space="preserve">This keeps everything organized and makes it easy to manage multiple SDK versions.</w:t>
      </w:r>
    </w:p>
    <w:p>
      <w:pPr>
        <w:spacing w:after="120"/>
      </w:pPr>
      <w:r>
        <w:t xml:space="preserve">On Windows, the tilde (~) maps to %HOMEPATH%.</w:t>
      </w:r>
    </w:p>
    <w:p>
      <w:pPr>
        <w:spacing w:after="80" w:before="240"/>
        <w:jc w:val="center"/>
      </w:pPr>
      <w:r>
        <w:drawing>
          <wp:inline distT="0" distB="0" distL="0" distR="0">
            <wp:extent cx="55245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F5E5A"/>
          <w:sz w:val="20"/>
          <w:szCs w:val="20"/>
        </w:rPr>
        <w:t xml:space="preserve">Figure 5. The recommended folder layout for local AEM development.</w:t>
      </w:r>
    </w:p>
    <w:p>
      <w:pPr>
        <w:pStyle w:val="Heading1"/>
        <w:pageBreakBefore/>
        <w:spacing w:after="180" w:before="360"/>
      </w:pPr>
      <w:r>
        <w:t xml:space="preserve">6. The QuickStart Jar</w:t>
      </w:r>
    </w:p>
    <w:p>
      <w:pPr>
        <w:spacing w:after="120"/>
      </w:pPr>
      <w:r>
        <w:t xml:space="preserve">The AEMaaCS SDK includes a QuickStart Jar, which is a self-contained JAR file that runs a full AEM instance locally.</w:t>
      </w:r>
    </w:p>
    <w:p>
      <w:pPr>
        <w:spacing w:after="120"/>
      </w:pPr>
      <w:r>
        <w:t xml:space="preserve">You download it from Adobe Software Distribution, and you can use it to run either Author or Publish.</w:t>
      </w:r>
    </w:p>
    <w:p>
      <w:pPr>
        <w:pStyle w:val="Heading2"/>
        <w:spacing w:after="120" w:before="240"/>
      </w:pPr>
      <w:r>
        <w:t xml:space="preserve">Two important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double-click the JAR file — it must be started from the command line so the filename conventions for tier, environment, and port apply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Always start it from the command line: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java -jar aem-author-p4502.jar</w:t>
      </w:r>
    </w:p>
    <w:p>
      <w:pPr>
        <w:pStyle w:val="Heading2"/>
        <w:spacing w:after="120" w:before="240"/>
      </w:pPr>
      <w:r>
        <w:t xml:space="preserve">Default ports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Author runs on port 4502.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 runs on port 4503.</w:t>
      </w:r>
    </w:p>
    <w:p>
      <w:pPr>
        <w:spacing w:after="80" w:before="240"/>
        <w:jc w:val="center"/>
      </w:pPr>
      <w:r>
        <w:drawing>
          <wp:inline distT="0" distB="0" distL="0" distR="0">
            <wp:extent cx="552450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F5E5A"/>
          <w:sz w:val="20"/>
          <w:szCs w:val="20"/>
        </w:rPr>
        <w:t xml:space="preserve">Figure 6. The QuickStart Jar: ports, naming, and the two startup rules.</w:t>
      </w:r>
    </w:p>
    <w:p>
      <w:pPr>
        <w:pStyle w:val="Heading1"/>
        <w:pageBreakBefore/>
        <w:spacing w:after="180" w:before="360"/>
      </w:pPr>
      <w:r>
        <w:t xml:space="preserve">7. QuickStart Jar naming convention</w:t>
      </w:r>
    </w:p>
    <w:p>
      <w:pPr>
        <w:spacing w:after="120"/>
      </w:pPr>
      <w:r>
        <w:t xml:space="preserve">The filename of the JAR controls how AEM starts up.</w:t>
      </w:r>
    </w:p>
    <w:p>
      <w:pPr>
        <w:pStyle w:val="Heading2"/>
        <w:spacing w:after="120" w:before="240"/>
      </w:pPr>
      <w:r>
        <w:t xml:space="preserve">Format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aem-&lt;tier&gt;_&lt;environment&gt;-p&lt;port&gt;.jar</w:t>
      </w:r>
    </w:p>
    <w:p>
      <w:pPr>
        <w:pStyle w:val="Heading2"/>
        <w:spacing w:after="120" w:before="240"/>
      </w:pPr>
      <w:r>
        <w:t xml:space="preserve">Examples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aem-author-p4502.jar — Author in Dev mode on port 4502.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aem-publish-p4503.jar — Publish in Dev mode on port 4503.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aem-author_prod-p4502.jar — Author in Production mode.</w:t>
      </w:r>
    </w:p>
    <w:p>
      <w:pPr>
        <w:pStyle w:val="Heading2"/>
        <w:spacing w:after="120" w:before="240"/>
      </w:pPr>
      <w:r>
        <w:t xml:space="preserve">Tier is locked on first startup</w:t>
      </w:r>
    </w:p>
    <w:p>
      <w:pPr>
        <w:spacing w:after="120"/>
      </w:pPr>
      <w:r>
        <w:t xml:space="preserve">The tier — author or publish — is locked on first startup. If you need to change it, you must delete the crx-quickstart folder and start fresh.</w:t>
      </w:r>
    </w:p>
    <w:p>
      <w:pPr>
        <w:spacing w:after="120"/>
      </w:pPr>
      <w:r>
        <w:t xml:space="preserve">The environment mode is useful for testing environment-specific OSGi configurations.</w:t>
      </w:r>
    </w:p>
    <w:p>
      <w:pPr>
        <w:spacing w:after="80" w:before="240"/>
        <w:jc w:val="center"/>
      </w:pPr>
      <w:r>
        <w:drawing>
          <wp:inline distT="0" distB="0" distL="0" distR="0">
            <wp:extent cx="5524500" cy="487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F5E5A"/>
          <w:sz w:val="20"/>
          <w:szCs w:val="20"/>
        </w:rPr>
        <w:t xml:space="preserve">Figure 7. Anatomy of the QuickStart Jar filename.</w:t>
      </w:r>
    </w:p>
    <w:p>
      <w:pPr>
        <w:pStyle w:val="Heading1"/>
        <w:pageBreakBefore/>
        <w:spacing w:after="180" w:before="360"/>
      </w:pPr>
      <w:r>
        <w:t xml:space="preserve">8. Simulating content distribution</w:t>
      </w:r>
    </w:p>
    <w:p>
      <w:pPr>
        <w:spacing w:after="120"/>
      </w:pPr>
      <w:r>
        <w:t xml:space="preserve">In production, content moves from Author to Publish through the Adobe Pipeline, which is a cloud-only microservice.</w:t>
      </w:r>
    </w:p>
    <w:p>
      <w:pPr>
        <w:spacing w:after="120"/>
      </w:pPr>
      <w:r>
        <w:t xml:space="preserve">Locally, you simulate this using legacy Replication Agents.</w:t>
      </w:r>
    </w:p>
    <w:p>
      <w:pPr>
        <w:pStyle w:val="Heading2"/>
        <w:spacing w:after="120" w:before="240"/>
      </w:pPr>
      <w:r>
        <w:t xml:space="preserve">Steps to enable</w:t>
      </w:r>
    </w:p>
    <w:p>
      <w:pPr>
        <w:spacing w:after="120"/>
      </w:pPr>
      <w:r>
        <w:t xml:space="preserve">From the Author service: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/etc/replication/agents.author.html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Default Agent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it and point the transport URI to localhost:4503</w:t>
      </w:r>
    </w:p>
    <w:p>
      <w:pPr>
        <w:spacing w:after="120"/>
      </w:pPr>
      <w:r>
        <w:t xml:space="preserve">After this, anything you publish on Author will replicate to your local Publish instance.</w:t>
      </w:r>
    </w:p>
    <w:p>
      <w:pPr>
        <w:spacing w:after="80" w:before="240"/>
        <w:jc w:val="center"/>
      </w:pPr>
      <w:r>
        <w:drawing>
          <wp:inline distT="0" distB="0" distL="0" distR="0">
            <wp:extent cx="552450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F5E5A"/>
          <w:sz w:val="20"/>
          <w:szCs w:val="20"/>
        </w:rPr>
        <w:t xml:space="preserve">Figure 8. Local replication flow: Author → Default Agent → Publish.</w:t>
      </w:r>
    </w:p>
    <w:p>
      <w:pPr>
        <w:pStyle w:val="Heading1"/>
        <w:pageBreakBefore/>
        <w:spacing w:after="180" w:before="360"/>
      </w:pPr>
      <w:r>
        <w:t xml:space="preserve">9. Local Dispatcher</w:t>
      </w:r>
    </w:p>
    <w:p>
      <w:pPr>
        <w:spacing w:after="120"/>
      </w:pPr>
      <w:r>
        <w:t xml:space="preserve">The Dispatcher Tools are Docker-based. They run an Apache HTTP Server with the Dispatcher module inside a container.</w:t>
      </w:r>
    </w:p>
    <w:p>
      <w:pPr>
        <w:pStyle w:val="Heading2"/>
        <w:spacing w:after="120" w:before="240"/>
      </w:pPr>
      <w:r>
        <w:t xml:space="preserve">Starting the Dispatcher</w:t>
      </w:r>
    </w:p>
    <w:p>
      <w:pPr>
        <w:spacing w:after="120"/>
      </w:pPr>
      <w:r>
        <w:t xml:space="preserve">You start it with a single script: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./bin/docker_run_hot_reload.sh ./src localhost:4503 8080</w:t>
      </w:r>
    </w:p>
    <w:p>
      <w:pPr>
        <w:spacing w:after="120"/>
      </w:pPr>
      <w:r>
        <w:t xml:space="preserve">This connects the Dispatcher to your local Publish service and exposes it on port 8080.</w:t>
      </w:r>
    </w:p>
    <w:p>
      <w:pPr>
        <w:spacing w:after="120"/>
      </w:pPr>
      <w:r>
        <w:t xml:space="preserve">The hot-reload variant is preferred because it reloads configuration automatically when files change.</w:t>
      </w:r>
    </w:p>
    <w:p>
      <w:pPr>
        <w:pStyle w:val="Heading2"/>
        <w:spacing w:after="120" w:before="240"/>
      </w:pPr>
      <w:r>
        <w:t xml:space="preserve">Validator</w:t>
      </w:r>
    </w:p>
    <w:p>
      <w:pPr>
        <w:spacing w:after="120"/>
      </w:pPr>
      <w:r>
        <w:t xml:space="preserve">There is also a validator tool to check your Apache and Dispatcher configuration for errors before you deploy: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./bin/validate ./src</w:t>
      </w:r>
    </w:p>
    <w:p>
      <w:pPr>
        <w:spacing w:after="80" w:before="240"/>
        <w:jc w:val="center"/>
      </w:pPr>
      <w:r>
        <w:drawing>
          <wp:inline distT="0" distB="0" distL="0" distR="0">
            <wp:extent cx="5524500" cy="487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F5E5A"/>
          <w:sz w:val="20"/>
          <w:szCs w:val="20"/>
        </w:rPr>
        <w:t xml:space="preserve">Figure 9. Browser → Dispatcher (Docker) → Publish, with the run script and arguments.</w:t>
      </w:r>
    </w:p>
    <w:p>
      <w:pPr>
        <w:pStyle w:val="Heading1"/>
        <w:pageBreakBefore/>
        <w:spacing w:after="180" w:before="360"/>
      </w:pPr>
      <w:r>
        <w:t xml:space="preserve">10. Maven project structure</w:t>
      </w:r>
    </w:p>
    <w:p>
      <w:pPr>
        <w:spacing w:after="120"/>
      </w:pPr>
      <w:r>
        <w:t xml:space="preserve">This is where things get important for the exam.</w:t>
      </w:r>
    </w:p>
    <w:p>
      <w:pPr>
        <w:spacing w:after="120"/>
      </w:pPr>
      <w:r>
        <w:t xml:space="preserve">AEM enforces a clear separation between code and content. The repository has two types of areas.</w:t>
      </w:r>
    </w:p>
    <w:p>
      <w:pPr>
        <w:pStyle w:val="Heading2"/>
        <w:spacing w:after="120" w:before="240"/>
      </w:pPr>
      <w:r>
        <w:t xml:space="preserve">Immutable — cannot be changed at runtime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/apps — your custom components, scripts, clientlibs.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/libs — AEM platform code, never touch this.</w:t>
      </w:r>
    </w:p>
    <w:p>
      <w:pPr>
        <w:pStyle w:val="Heading2"/>
        <w:spacing w:after="120" w:before="240"/>
      </w:pPr>
      <w:r>
        <w:t xml:space="preserve">Mutable — can be changed at runtime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/content — pages, assets, authored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/conf — configuration (CAConfig).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/var — runtime data, queues, indexes.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/etc — legacy configuration tree.</w:t>
      </w:r>
    </w:p>
    <w:p>
      <w:pPr>
        <w:spacing w:after="120"/>
      </w:pPr>
      <w:r>
        <w:t xml:space="preserve">Each type of content belongs in a specific Maven module — covered next.</w:t>
      </w:r>
    </w:p>
    <w:p>
      <w:pPr>
        <w:spacing w:after="80" w:before="240"/>
        <w:jc w:val="center"/>
      </w:pPr>
      <w:r>
        <w:drawing>
          <wp:inline distT="0" distB="0" distL="0" distR="0">
            <wp:extent cx="55245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F5E5A"/>
          <w:sz w:val="20"/>
          <w:szCs w:val="20"/>
        </w:rPr>
        <w:t xml:space="preserve">Figure 10. Immutable vs mutable repository areas.</w:t>
      </w:r>
    </w:p>
    <w:p>
      <w:pPr>
        <w:pStyle w:val="Heading1"/>
        <w:pageBreakBefore/>
        <w:spacing w:after="180" w:before="360"/>
      </w:pPr>
      <w:r>
        <w:t xml:space="preserve">11. Maven modules and package types</w:t>
      </w:r>
    </w:p>
    <w:p>
      <w:pPr>
        <w:spacing w:after="120"/>
      </w:pPr>
      <w:r>
        <w:t xml:space="preserve">A standard AEM project has these key modules.</w:t>
      </w:r>
    </w:p>
    <w:p>
      <w:pPr>
        <w:pStyle w:val="Heading2"/>
        <w:spacing w:after="120" w:before="240"/>
      </w:pPr>
      <w:r>
        <w:t xml:space="preserve">The modules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core — Java OSGi bundle (services, models, servlets).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ui.apps — code package, deploys to /apps.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ui.content — content package, deploys to /content and /conf.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ui.config — OSGi configurations and Repo Init scripts.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— the container package, the only artifact deployed by Cloud Manager.</w:t>
      </w:r>
    </w:p>
    <w:p>
      <w:pPr>
        <w:pStyle w:val="Heading2"/>
        <w:spacing w:after="120" w:before="240"/>
      </w:pPr>
      <w:r>
        <w:t xml:space="preserve">Package types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 — for code packages like ui.apps.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— for content packages like ui.content.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container — for the all package.</w:t>
      </w:r>
    </w:p>
    <w:p>
      <w:pPr>
        <w:pStyle w:val="Heading2"/>
        <w:spacing w:after="120" w:before="240"/>
      </w:pPr>
      <w:r>
        <w:t xml:space="preserve">The all package</w:t>
      </w:r>
    </w:p>
    <w:p>
      <w:pPr>
        <w:spacing w:after="120"/>
      </w:pPr>
      <w:r>
        <w:t xml:space="preserve">The all package embeds all other modules and is the single deployment artifact.</w:t>
      </w:r>
    </w:p>
    <w:p>
      <w:pPr>
        <w:spacing w:after="120"/>
      </w:pPr>
      <w:r>
        <w:t xml:space="preserve">All other packages must set cloudManagerTarget to none so Cloud Manager ignores them.</w:t>
      </w:r>
    </w:p>
    <w:p>
      <w:pPr>
        <w:spacing w:after="80" w:before="240"/>
        <w:jc w:val="center"/>
      </w:pPr>
      <w:r>
        <w:drawing>
          <wp:inline distT="0" distB="0" distL="0" distR="0">
            <wp:extent cx="5524500" cy="536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F5E5A"/>
          <w:sz w:val="20"/>
          <w:szCs w:val="20"/>
        </w:rPr>
        <w:t xml:space="preserve">Figure 11. The Maven modules of a standard AEM project and their package types.</w:t>
      </w:r>
    </w:p>
    <w:p>
      <w:pPr>
        <w:pStyle w:val="Heading1"/>
        <w:pageBreakBefore/>
        <w:spacing w:after="180" w:before="360"/>
      </w:pPr>
      <w:r>
        <w:t xml:space="preserve">12. Repo Init and the AEM Archetype</w:t>
      </w:r>
    </w:p>
    <w:p>
      <w:pPr>
        <w:pStyle w:val="Heading2"/>
        <w:spacing w:after="120" w:before="240"/>
      </w:pPr>
      <w:r>
        <w:t xml:space="preserve">Repo Init</w:t>
      </w:r>
    </w:p>
    <w:p>
      <w:pPr>
        <w:spacing w:after="120"/>
      </w:pPr>
      <w:r>
        <w:t xml:space="preserve">Repo Init is a mechanism that defines JCR structures as part of the application.</w:t>
      </w:r>
    </w:p>
    <w:p>
      <w:pPr>
        <w:spacing w:after="120"/>
      </w:pPr>
      <w:r>
        <w:t xml:space="preserve">You use it to create: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Folder structures.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users.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ACL permissions.</w:t>
      </w:r>
    </w:p>
    <w:p>
      <w:pPr>
        <w:spacing w:after="120"/>
      </w:pPr>
      <w:r>
        <w:t xml:space="preserve">These scripts run early in the deployment lifecycle, before any application code. They live in ui.config and are scoped by run mode.</w:t>
      </w:r>
    </w:p>
    <w:p>
      <w:pPr>
        <w:pStyle w:val="Heading2"/>
        <w:spacing w:after="120" w:before="240"/>
      </w:pPr>
      <w:r>
        <w:t xml:space="preserve">AEM Project Archetype</w:t>
      </w:r>
    </w:p>
    <w:p>
      <w:pPr>
        <w:spacing w:after="120"/>
      </w:pPr>
      <w:r>
        <w:t xml:space="preserve">To start a new project, you use the AEM Project Archetype. The current version is 56.</w:t>
      </w:r>
    </w:p>
    <w:p>
      <w:pPr>
        <w:spacing w:after="120"/>
      </w:pPr>
      <w:r>
        <w:t xml:space="preserve">It generates the full project structure with best practices already in place: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all, core, ui.apps, ui.content, ui.config.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ui.frontend, tests, and dispatcher configuration.</w:t>
      </w:r>
    </w:p>
    <w:p>
      <w:pPr>
        <w:spacing w:after="80" w:before="240"/>
        <w:jc w:val="center"/>
      </w:pPr>
      <w:r>
        <w:drawing>
          <wp:inline distT="0" distB="0" distL="0" distR="0">
            <wp:extent cx="5524500" cy="503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F5E5A"/>
          <w:sz w:val="20"/>
          <w:szCs w:val="20"/>
        </w:rPr>
        <w:t xml:space="preserve">Figure 12. Repo Init capabilities and the modules generated by the AEM Archetype.</w:t>
      </w:r>
    </w:p>
    <w:p>
      <w:pPr>
        <w:pStyle w:val="Heading1"/>
        <w:pageBreakBefore/>
        <w:spacing w:after="180" w:before="360"/>
      </w:pPr>
      <w:r>
        <w:t xml:space="preserve">13. Troubleshooting</w:t>
      </w:r>
    </w:p>
    <w:p>
      <w:pPr>
        <w:spacing w:after="120"/>
      </w:pPr>
      <w:r>
        <w:t xml:space="preserve">When something is not working, follow this sequence.</w:t>
      </w:r>
    </w:p>
    <w:p>
      <w:pPr>
        <w:pStyle w:val="Heading2"/>
        <w:spacing w:after="120" w:before="240"/>
      </w:pPr>
      <w:r>
        <w:t xml:space="preserve">The five-step diagnostic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Check Package Manager — was the package actually installed? http://localhost:4502/crx/packmgr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Check CRXDE Lite — is the file there and is the content correct? http://localhost:4502/crx/de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Check the Bundle Console — is the OSGi bundle Active? http://localhost:4502/system/console/bundles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Read the error.log — AEM logs everything there. Location: crx-quickstart/logs/error.log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For front-end issues — use the clientlib debug tools at /libs/granite/ui/content/dumplibs.html</w:t>
      </w:r>
    </w:p>
    <w:p>
      <w:pPr>
        <w:pStyle w:val="Heading2"/>
        <w:spacing w:after="120" w:before="240"/>
      </w:pPr>
      <w:r>
        <w:t xml:space="preserve">Most common errors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Wrong Java 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Trying to double-click the QuickStart Jar.</w:t>
      </w:r>
    </w:p>
    <w:p>
      <w:pPr>
        <w:spacing w:after="80" w:before="240"/>
        <w:jc w:val="center"/>
      </w:pPr>
      <w:r>
        <w:drawing>
          <wp:inline distT="0" distB="0" distL="0" distR="0">
            <wp:extent cx="5524500" cy="568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F5E5A"/>
          <w:sz w:val="20"/>
          <w:szCs w:val="20"/>
        </w:rPr>
        <w:t xml:space="preserve">Figure 13. The five-step troubleshooting checklist with URLs and log paths.</w:t>
      </w:r>
    </w:p>
    <w:p>
      <w:pPr>
        <w:pStyle w:val="Heading1"/>
        <w:pageBreakBefore/>
        <w:spacing w:after="180" w:before="360"/>
      </w:pPr>
      <w:r>
        <w:t xml:space="preserve">14. Closing</w:t>
      </w:r>
    </w:p>
    <w:p>
      <w:pPr>
        <w:spacing w:after="120"/>
      </w:pPr>
      <w:r>
        <w:t xml:space="preserve">Setting up a local AEM environment is not just a setup task — it is the foundation for everything that follows.</w:t>
      </w:r>
    </w:p>
    <w:p>
      <w:pPr>
        <w:pStyle w:val="Heading2"/>
        <w:spacing w:after="120" w:before="240"/>
      </w:pPr>
      <w:r>
        <w:t xml:space="preserve">What you now have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tools to build AEM projects.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local runtime to test your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understanding of how Maven packages are structured.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troubleshooting process when things go wrong.</w:t>
      </w:r>
    </w:p>
    <w:p>
      <w:pPr>
        <w:pStyle w:val="Heading2"/>
        <w:spacing w:after="120" w:before="240"/>
      </w:pPr>
      <w:r>
        <w:t xml:space="preserve">Key concepts to remember for the exam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QuickStart Jar naming convention and startup rules.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Mutable vs immutable repository areas.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role of each Maven module (core, ui.apps, ui.content, ui.config).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all package as the single Cloud Manager deployment artifact.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OAuth Server-to-Server is the only supported aio CLI authentication method (JWT removed January 2025).</w:t>
      </w:r>
    </w:p>
    <w:p>
      <w:pPr>
        <w:spacing w:after="80" w:before="240"/>
        <w:jc w:val="center"/>
      </w:pPr>
      <w:r>
        <w:drawing>
          <wp:inline distT="0" distB="0" distL="0" distR="0">
            <wp:extent cx="5524500" cy="487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F5E5A"/>
          <w:sz w:val="20"/>
          <w:szCs w:val="20"/>
        </w:rPr>
        <w:t xml:space="preserve">Figure 14. Recap of the four pillars and the key concepts for the exam.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780"/>
        <w:sz w:val="18"/>
        <w:szCs w:val="18"/>
      </w:rPr>
      <w:t xml:space="preserve">Page </w:t>
    </w:r>
    <w:r>
      <w:rPr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780"/>
        <w:sz w:val="18"/>
        <w:szCs w:val="18"/>
      </w:rPr>
      <w:t xml:space="preserve">AEM Environment Setup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C2C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C348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2ed381f2d168c0fb32af75eceb49db3cfe79cfa.png"/><Relationship Id="rId10" Type="http://schemas.openxmlformats.org/officeDocument/2006/relationships/image" Target="media/e614b63ea3e0dfaa9b6b8e95d6b70bd0afbb4255.png"/><Relationship Id="rId11" Type="http://schemas.openxmlformats.org/officeDocument/2006/relationships/image" Target="media/f460a3b598cc9a3c2e1db5ee9eb9a4b9d8f485a0.png"/><Relationship Id="rId12" Type="http://schemas.openxmlformats.org/officeDocument/2006/relationships/image" Target="media/82315a376ceff6273b79c60500dba898babba660.png"/><Relationship Id="rId13" Type="http://schemas.openxmlformats.org/officeDocument/2006/relationships/image" Target="media/621cf65a2a786b9a1ea46feb235bd04830e66133.png"/><Relationship Id="rId14" Type="http://schemas.openxmlformats.org/officeDocument/2006/relationships/image" Target="media/6a5c00b6fd0ceeb62a12b4f6823caf42f50cfdc7.png"/><Relationship Id="rId15" Type="http://schemas.openxmlformats.org/officeDocument/2006/relationships/image" Target="media/6f0b04d7b4c747cff9daa53947f58690c7f422ef.png"/><Relationship Id="rId16" Type="http://schemas.openxmlformats.org/officeDocument/2006/relationships/image" Target="media/e323931e7e9c6c4b2dc305962c37722c11bb2426.png"/><Relationship Id="rId17" Type="http://schemas.openxmlformats.org/officeDocument/2006/relationships/image" Target="media/4a1a628ac9f423da017c0129556386ffa4913501.png"/><Relationship Id="rId18" Type="http://schemas.openxmlformats.org/officeDocument/2006/relationships/image" Target="media/dc1840173f761adf403b48636ee2932a374189a8.png"/><Relationship Id="rId19" Type="http://schemas.openxmlformats.org/officeDocument/2006/relationships/image" Target="media/35d739d7b4769a2a527d51571a3b94ff4da059a4.png"/><Relationship Id="rId20" Type="http://schemas.openxmlformats.org/officeDocument/2006/relationships/image" Target="media/0b1caed58d16f45a7a192718c9b62ef69478a550.png"/><Relationship Id="rId21" Type="http://schemas.openxmlformats.org/officeDocument/2006/relationships/image" Target="media/393177ddfd8b6bf78e56abc50ff629a9e052d82d.png"/><Relationship Id="rId22" Type="http://schemas.openxmlformats.org/officeDocument/2006/relationships/image" Target="media/fe91dc49bc2be6ea2b5d45d2cbdeffecd30a2e86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AEM Environment Setup — Study Guide</dc:title>
  <dc:creator>AEM Study Material</dc:creator>
  <dc:description>Volume 4: AEM Environment Setup study guide for beginners</dc:description>
  <cp:lastModifiedBy>Un-named</cp:lastModifiedBy>
  <cp:revision>1</cp:revision>
  <dcterms:created xsi:type="dcterms:W3CDTF">2026-05-08T14:35:33.656Z</dcterms:created>
  <dcterms:modified xsi:type="dcterms:W3CDTF">2026-05-08T14:35:33.668Z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