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INSTITUTO POLITÉCNICO FORMOSA</w:t>
      </w:r>
    </w:p>
    <w:p>
      <w:pPr>
        <w:pBdr>
          <w:bottom w:val="single" w:color="2E75B6" w:sz="12" w:space="8"/>
        </w:pBdr>
        <w:spacing w:after="1400"/>
        <w:jc w:val="center"/>
      </w:pPr>
      <w:r>
        <w:t xml:space="preserve"/>
      </w:r>
    </w:p>
    <w:p>
      <w:pPr>
        <w:spacing w:after="240"/>
        <w:jc w:val="center"/>
      </w:pPr>
      <w:r>
        <w:rPr>
          <w:b/>
          <w:bCs/>
          <w:sz w:val="56"/>
          <w:szCs w:val="56"/>
        </w:rPr>
        <w:t xml:space="preserve">ESTADÍSTICA</w:t>
      </w:r>
    </w:p>
    <w:p>
      <w:pPr>
        <w:spacing w:after="120"/>
        <w:jc w:val="center"/>
      </w:pPr>
      <w:r>
        <w:rPr>
          <w:sz w:val="36"/>
          <w:szCs w:val="36"/>
        </w:rPr>
        <w:t xml:space="preserve">Trabajo Práctico Integrador</w:t>
      </w:r>
    </w:p>
    <w:p>
      <w:pPr>
        <w:spacing w:after="1400"/>
        <w:jc w:val="center"/>
      </w:pPr>
      <w:r>
        <w:rPr>
          <w:i/>
          <w:iCs/>
          <w:sz w:val="32"/>
          <w:szCs w:val="32"/>
        </w:rPr>
        <w:t xml:space="preserve">“Bienestar Digital”</w:t>
      </w:r>
    </w:p>
    <w:p>
      <w:pPr>
        <w:spacing w:after="160"/>
        <w:jc w:val="center"/>
      </w:pPr>
      <w:r>
        <w:rPr>
          <w:b/>
          <w:bCs/>
          <w:sz w:val="26"/>
          <w:szCs w:val="26"/>
        </w:rPr>
        <w:t xml:space="preserve">Integrantes:</w:t>
      </w:r>
    </w:p>
    <w:p>
      <w:pPr>
        <w:spacing w:after="80"/>
        <w:jc w:val="center"/>
      </w:pPr>
      <w:r>
        <w:rPr>
          <w:sz w:val="26"/>
          <w:szCs w:val="26"/>
        </w:rPr>
        <w:t xml:space="preserve">Ayala, Santiago</w:t>
      </w:r>
    </w:p>
    <w:p>
      <w:pPr>
        <w:spacing w:after="80"/>
        <w:jc w:val="center"/>
      </w:pPr>
      <w:r>
        <w:rPr>
          <w:sz w:val="26"/>
          <w:szCs w:val="26"/>
        </w:rPr>
        <w:t xml:space="preserve">Colman, Máximo</w:t>
      </w:r>
    </w:p>
    <w:p>
      <w:pPr>
        <w:spacing w:after="80"/>
        <w:jc w:val="center"/>
      </w:pPr>
      <w:r>
        <w:rPr>
          <w:sz w:val="26"/>
          <w:szCs w:val="26"/>
        </w:rPr>
        <w:t xml:space="preserve">Martínez, Javier Nicolás</w:t>
      </w:r>
    </w:p>
    <w:p>
      <w:pPr>
        <w:spacing w:after="80"/>
        <w:jc w:val="center"/>
      </w:pPr>
      <w:r>
        <w:rPr>
          <w:sz w:val="26"/>
          <w:szCs w:val="26"/>
        </w:rPr>
        <w:t xml:space="preserve">Pereyra, Ramiro Nicolás</w:t>
      </w:r>
    </w:p>
    <w:p>
      <w:pPr>
        <w:spacing w:after="80"/>
        <w:jc w:val="center"/>
      </w:pPr>
      <w:r>
        <w:rPr>
          <w:sz w:val="26"/>
          <w:szCs w:val="26"/>
        </w:rPr>
        <w:t xml:space="preserve">Zigaran, Lucas Natanael</w:t>
      </w:r>
    </w:p>
    <w:p>
      <w:pPr>
        <w:spacing w:after="80" w:before="600"/>
        <w:jc w:val="center"/>
      </w:pPr>
      <w:r>
        <w:rPr>
          <w:b/>
          <w:bCs/>
          <w:sz w:val="26"/>
          <w:szCs w:val="26"/>
        </w:rPr>
        <w:t xml:space="preserve">Profesor/a: </w:t>
      </w:r>
      <w:r>
        <w:rPr>
          <w:sz w:val="26"/>
          <w:szCs w:val="26"/>
          <w:highlight w:val="yellow"/>
        </w:rPr>
        <w:t xml:space="preserve">[completar]</w:t>
      </w:r>
    </w:p>
    <w:p>
      <w:pPr>
        <w:spacing w:after="80"/>
        <w:jc w:val="center"/>
      </w:pPr>
      <w:r>
        <w:rPr>
          <w:b/>
          <w:bCs/>
          <w:sz w:val="26"/>
          <w:szCs w:val="26"/>
        </w:rPr>
        <w:t xml:space="preserve">Curso: </w:t>
      </w:r>
      <w:r>
        <w:rPr>
          <w:sz w:val="26"/>
          <w:szCs w:val="26"/>
          <w:highlight w:val="yellow"/>
        </w:rPr>
        <w:t xml:space="preserve">[completar]</w:t>
      </w:r>
    </w:p>
    <w:p>
      <w:pPr>
        <w:spacing w:after="0"/>
        <w:jc w:val="center"/>
      </w:pPr>
      <w:r>
        <w:rPr>
          <w:sz w:val="26"/>
          <w:szCs w:val="26"/>
        </w:rPr>
        <w:t xml:space="preserve">Año 2026</w:t>
      </w:r>
    </w:p>
    <w:p>
      <w:r>
        <w:br w:type="page"/>
      </w:r>
    </w:p>
    <w:p>
      <w:pPr>
        <w:pStyle w:val="Heading1"/>
        <w:spacing w:after="240" w:before="240" w:line="360"/>
      </w:pPr>
      <w:r>
        <w:t xml:space="preserve">Segunda etapa: Acciones para reducir el consumo digital</w:t>
      </w:r>
    </w:p>
    <w:p>
      <w:pPr>
        <w:spacing w:after="120" w:line="360"/>
      </w:pPr>
      <w:r>
        <w:t xml:space="preserve">A partir del registro de actividad observado en nuestros dispositivos, proponemos las siguientes acciones concretas para reducir el tiempo de pantalla:</w:t>
      </w:r>
    </w:p>
    <w:p>
      <w:pPr>
        <w:pStyle w:val="ListParagraph"/>
        <w:numPr>
          <w:ilvl w:val="0"/>
          <w:numId w:val="2"/>
        </w:numPr>
        <w:spacing w:after="120" w:line="360"/>
      </w:pPr>
      <w:r>
        <w:t xml:space="preserve">Establecer límites diarios de uso por aplicación desde las herramientas de bienestar digital del teléfono (por ejemplo, 1 hora para redes sociales), de modo que el propio dispositivo bloquee la aplicación al superarlo.</w:t>
      </w:r>
    </w:p>
    <w:p>
      <w:pPr>
        <w:pStyle w:val="ListParagraph"/>
        <w:numPr>
          <w:ilvl w:val="0"/>
          <w:numId w:val="2"/>
        </w:numPr>
        <w:spacing w:after="120" w:line="360"/>
      </w:pPr>
      <w:r>
        <w:t xml:space="preserve">Desactivar las notificaciones no esenciales, ya que cada aviso genera un impulso de revisar el teléfono y prolonga sesiones que no estaban planificadas.</w:t>
      </w:r>
    </w:p>
    <w:p>
      <w:pPr>
        <w:pStyle w:val="ListParagraph"/>
        <w:numPr>
          <w:ilvl w:val="0"/>
          <w:numId w:val="2"/>
        </w:numPr>
        <w:spacing w:after="120" w:line="360"/>
      </w:pPr>
      <w:r>
        <w:t xml:space="preserve">Activar el modo escala de grises o el modo concentración en horarios de estudio, reduciendo el atractivo visual de las aplicaciones.</w:t>
      </w:r>
    </w:p>
    <w:p>
      <w:pPr>
        <w:pStyle w:val="ListParagraph"/>
        <w:numPr>
          <w:ilvl w:val="0"/>
          <w:numId w:val="2"/>
        </w:numPr>
        <w:spacing w:after="120" w:line="360"/>
      </w:pPr>
      <w:r>
        <w:t xml:space="preserve">Definir horarios libres de pantalla: durante las comidas, la primera hora de la mañana y la hora previa a dormir, dejando el celular fuera de la habitación por la noche.</w:t>
      </w:r>
    </w:p>
    <w:p>
      <w:pPr>
        <w:pStyle w:val="ListParagraph"/>
        <w:numPr>
          <w:ilvl w:val="0"/>
          <w:numId w:val="2"/>
        </w:numPr>
        <w:spacing w:after="120" w:line="360"/>
      </w:pPr>
      <w:r>
        <w:t xml:space="preserve">Reemplazar el tiempo de desplazamiento pasivo (scroll) por actividades alternativas planificadas: deporte, lectura o encuentros presenciales con amigos.</w:t>
      </w:r>
    </w:p>
    <w:p>
      <w:pPr>
        <w:pStyle w:val="ListParagraph"/>
        <w:numPr>
          <w:ilvl w:val="0"/>
          <w:numId w:val="2"/>
        </w:numPr>
        <w:spacing w:after="120" w:line="360"/>
      </w:pPr>
      <w:r>
        <w:t xml:space="preserve">Eliminar de la pantalla de inicio las aplicaciones más consumidoras de tiempo, agregando un paso adicional que desaliente el uso automático e inconsciente.</w:t>
      </w:r>
    </w:p>
    <w:p>
      <w:pPr>
        <w:pStyle w:val="ListParagraph"/>
        <w:numPr>
          <w:ilvl w:val="0"/>
          <w:numId w:val="2"/>
        </w:numPr>
        <w:spacing w:after="120" w:line="360"/>
      </w:pPr>
      <w:r>
        <w:t xml:space="preserve">Revisar semanalmente el informe de tiempo de pantalla para verificar si las medidas anteriores producen una disminución real del consumo.</w:t>
      </w:r>
    </w:p>
    <w:p>
      <w:pPr>
        <w:pStyle w:val="Heading1"/>
        <w:spacing w:after="240" w:before="240" w:line="360"/>
      </w:pPr>
      <w:r>
        <w:t xml:space="preserve">Tercera etapa: Reflexionamos sobre nuestras acciones</w:t>
      </w:r>
    </w:p>
    <w:p>
      <w:pPr>
        <w:spacing w:after="120" w:line="360"/>
      </w:pPr>
      <w:r>
        <w:rPr>
          <w:i/>
          <w:iCs/>
          <w:sz w:val="20"/>
          <w:szCs w:val="20"/>
        </w:rPr>
        <w:t xml:space="preserve">Nota: los valores resaltados corresponden a los registros personales de nuestros dispositivos.</w:t>
      </w:r>
    </w:p>
    <w:p>
      <w:pPr>
        <w:pStyle w:val="Heading2"/>
        <w:spacing w:after="160" w:before="200" w:line="360"/>
      </w:pPr>
      <w:r>
        <w:t xml:space="preserve">¿Alguna de las medidas calculadas supera las tres horas? ¿Cuál?</w:t>
      </w:r>
    </w:p>
    <w:p>
      <w:pPr>
        <w:spacing w:after="120" w:line="360"/>
      </w:pPr>
      <w:r>
        <w:t xml:space="preserve">Sí. La </w:t>
      </w:r>
      <w:r>
        <w:rPr>
          <w:b/>
          <w:bCs/>
        </w:rPr>
        <w:t xml:space="preserve">media aritmética</w:t>
      </w:r>
      <w:r>
        <w:t xml:space="preserve"> del uso diario de pantalla, que resultó de </w:t>
      </w:r>
      <w:r>
        <w:rPr>
          <w:highlight w:val="yellow"/>
        </w:rPr>
        <w:t xml:space="preserve">4,5 horas</w:t>
      </w:r>
      <w:r>
        <w:t xml:space="preserve">, supera el umbral de las tres horas recomendadas. También la </w:t>
      </w:r>
      <w:r>
        <w:rPr>
          <w:b/>
          <w:bCs/>
        </w:rPr>
        <w:t xml:space="preserve">mediana</w:t>
      </w:r>
      <w:r>
        <w:t xml:space="preserve"> (</w:t>
      </w:r>
      <w:r>
        <w:rPr>
          <w:highlight w:val="yellow"/>
        </w:rPr>
        <w:t xml:space="preserve">4 horas</w:t>
      </w:r>
      <w:r>
        <w:t xml:space="preserve">) se ubica por encima de ese valor, lo que indica que más de la mitad de los días registrados tuvieron un consumo superior al recomendado. Esto muestra que el exceso no es producto de un día aislado, sino una tendencia sostenida.</w:t>
      </w:r>
    </w:p>
    <w:p>
      <w:pPr>
        <w:pStyle w:val="Heading2"/>
        <w:spacing w:after="160" w:before="200" w:line="360"/>
      </w:pPr>
      <w:r>
        <w:t xml:space="preserve">¿Cuál es el día de la semana que registra un mayor uso de pantalla? ¿A qué se debe? Hipótesis</w:t>
      </w:r>
    </w:p>
    <w:p>
      <w:pPr>
        <w:spacing w:after="120" w:line="360"/>
      </w:pPr>
      <w:r>
        <w:t xml:space="preserve">El día de mayor uso registrado fue el </w:t>
      </w:r>
      <w:r>
        <w:rPr>
          <w:highlight w:val="yellow"/>
        </w:rPr>
        <w:t xml:space="preserve">domingo</w:t>
      </w:r>
      <w:r>
        <w:t xml:space="preserve">. Nuestra hipótesis es que, al no haber clases ni obligaciones académicas, se dispone de más tiempo libre sin estructura, y ese tiempo tiende a ocuparse con el celular. A esto se suma que las redes sociales concentran los fines de semana mayor actividad de los contactos (publicaciones, estados, mensajes), lo que retroalimenta el uso: cuanto más publican los demás, más tiempo permanecemos conectados revisando contenido.</w:t>
      </w:r>
    </w:p>
    <w:p>
      <w:pPr>
        <w:pStyle w:val="Heading2"/>
        <w:spacing w:after="160" w:before="200" w:line="360"/>
      </w:pPr>
      <w:r>
        <w:t xml:space="preserve">¿Cuál es la aplicación más utilizada en la semana? ¿Qué medida de tendencia central nos brinda esta información?</w:t>
      </w:r>
    </w:p>
    <w:p>
      <w:pPr>
        <w:spacing w:after="120" w:line="360"/>
      </w:pPr>
      <w:r>
        <w:t xml:space="preserve">La aplicación más utilizada fue </w:t>
      </w:r>
      <w:r>
        <w:rPr>
          <w:highlight w:val="yellow"/>
        </w:rPr>
        <w:t xml:space="preserve">Instagram</w:t>
      </w:r>
      <w:r>
        <w:t xml:space="preserve">. La medida de tendencia central que brinda esta información es la </w:t>
      </w:r>
      <w:r>
        <w:rPr>
          <w:b/>
          <w:bCs/>
        </w:rPr>
        <w:t xml:space="preserve">moda</w:t>
      </w:r>
      <w:r>
        <w:t xml:space="preserve">, ya que indica el valor (en este caso, la categoría o aplicación) que aparece con mayor frecuencia en el registro. Al tratarse de una variable cualitativa, la moda es la única medida de tendencia central aplicable.</w:t>
      </w:r>
    </w:p>
    <w:p>
      <w:pPr>
        <w:pStyle w:val="Heading2"/>
        <w:spacing w:after="160" w:before="200" w:line="360"/>
      </w:pPr>
      <w:r>
        <w:t xml:space="preserve">¿Cuáles pueden ser las causas de que un estudiante presente los indicadores de la adicción al internet?</w:t>
      </w:r>
    </w:p>
    <w:p>
      <w:pPr>
        <w:spacing w:after="120" w:line="360"/>
      </w:pPr>
      <w:r>
        <w:t xml:space="preserve">Las causas suelen ser múltiples y combinadas. En primer lugar, el diseño de las propias aplicaciones: el desplazamiento infinito, las recompensas variables (me gusta, comentarios) y las notificaciones constantes activan los circuitos de recompensa del cerebro de manera similar a otras conductas adictivas. En segundo lugar, factores emocionales: la ansiedad, el aburrimiento, la soledad o el miedo a quedarse afuera (FOMO) llevan a usar internet como vía de escape. En tercer lugar, factores sociales: la presión del grupo de pares, donde gran parte de la vida social adolescente transcurre en línea, hace que desconectarse se perciba como aislarse. Finalmente, la falta de hábitos alternativos estructurados (deporte, hobbies, rutinas de sueño) deja un vacío de tiempo que las pantallas ocupan por defecto.</w:t>
      </w:r>
    </w:p>
    <w:p>
      <w:pPr>
        <w:pStyle w:val="Heading2"/>
        <w:spacing w:after="160" w:before="200" w:line="360"/>
      </w:pPr>
      <w:r>
        <w:t xml:space="preserve">¿Qué consecuencias podría generar que la media aritmética del uso de pantallas esté muy por encima de las tres horas?</w:t>
      </w:r>
    </w:p>
    <w:p>
      <w:pPr>
        <w:spacing w:after="120" w:line="360"/>
      </w:pPr>
      <w:r>
        <w:t xml:space="preserve">Una media muy superior a las tres horas implica un patrón sostenido de consumo excesivo, con consecuencias en varios planos. En lo académico, reduce las horas efectivas de estudio y fragmenta la atención, lo que se traduce en menor rendimiento. En la salud física, se asocia a sedentarismo, fatiga visual y, sobre todo, alteraciones del sueño cuando el uso se concentra en la noche. En lo psicológico, el uso intensivo de redes se vincula con mayor ansiedad, comparación social constante y menor tolerancia al aburrimiento. En lo social, paradójicamente, más tiempo de conexión virtual suele significar menos interacción presencial de calidad. Por eso la media es un indicador de alerta: si el promedio de todo el período supera ampliamente el umbral, el problema es estructural y no ocasional.</w:t>
      </w:r>
    </w:p>
    <w:p>
      <w:r>
        <w:br w:type="page"/>
      </w:r>
    </w:p>
    <w:p>
      <w:pPr>
        <w:pStyle w:val="Heading1"/>
        <w:spacing w:after="240" w:before="240" w:line="360"/>
      </w:pPr>
      <w:r>
        <w:t xml:space="preserve">Cuarta etapa: Contrastación de datos</w:t>
      </w:r>
    </w:p>
    <w:p>
      <w:pPr>
        <w:spacing w:after="120" w:line="360"/>
      </w:pPr>
      <w:r>
        <w:t xml:space="preserve">Se trabajó con el archivo Excel provisto por la cátedra (</w:t>
      </w:r>
      <w:r>
        <w:rPr>
          <w:i/>
          <w:iCs/>
        </w:rPr>
        <w:t xml:space="preserve">datos_estudiantes.xlsx</w:t>
      </w:r>
      <w:r>
        <w:t xml:space="preserve">), utilizando únicamente la variable </w:t>
      </w:r>
      <w:r>
        <w:rPr>
          <w:b/>
          <w:bCs/>
        </w:rPr>
        <w:t xml:space="preserve">“Cantidad de horas de consumo de redes sociales por día”</w:t>
      </w:r>
      <w:r>
        <w:t xml:space="preserve">, correspondiente a una muestra de 200 estudiantes encuestados durante el último mes. La tabla de frecuencias se construyó con Python, empleando la librería Pandas.</w:t>
      </w:r>
    </w:p>
    <w:p>
      <w:pPr>
        <w:pStyle w:val="Heading2"/>
        <w:spacing w:after="160" w:before="200" w:line="360"/>
      </w:pPr>
      <w:r>
        <w:t xml:space="preserve">Código Python utilizado</w:t>
      </w:r>
    </w:p>
    <w:p>
      <w:pPr>
        <w:shd w:fill="F2F2F2" w:val="clear"/>
        <w:spacing w:after="0" w:line="240"/>
      </w:pPr>
      <w:r>
        <w:rPr>
          <w:rFonts w:ascii="Courier New" w:cs="Courier New" w:eastAsia="Courier New" w:hAnsi="Courier New"/>
          <w:sz w:val="18"/>
          <w:szCs w:val="18"/>
        </w:rPr>
        <w:t xml:space="preserve">import pandas as pd</w:t>
      </w:r>
    </w:p>
    <w:p>
      <w:pPr>
        <w:shd w:fill="F2F2F2" w:val="clear"/>
        <w:spacing w:after="0" w:line="240"/>
      </w:pPr>
      <w:r>
        <w:rPr>
          <w:rFonts w:ascii="Courier New" w:cs="Courier New" w:eastAsia="Courier New" w:hAnsi="Courier New"/>
          <w:sz w:val="18"/>
          <w:szCs w:val="18"/>
        </w:rPr>
        <w:t xml:space="preserve"/>
      </w:r>
    </w:p>
    <w:p>
      <w:pPr>
        <w:shd w:fill="F2F2F2" w:val="clear"/>
        <w:spacing w:after="0" w:line="240"/>
      </w:pPr>
      <w:r>
        <w:rPr>
          <w:rFonts w:ascii="Courier New" w:cs="Courier New" w:eastAsia="Courier New" w:hAnsi="Courier New"/>
          <w:sz w:val="18"/>
          <w:szCs w:val="18"/>
        </w:rPr>
        <w:t xml:space="preserve"># Lectura del dataset provisto por la catedra</w:t>
      </w:r>
    </w:p>
    <w:p>
      <w:pPr>
        <w:shd w:fill="F2F2F2" w:val="clear"/>
        <w:spacing w:after="0" w:line="240"/>
      </w:pPr>
      <w:r>
        <w:rPr>
          <w:rFonts w:ascii="Courier New" w:cs="Courier New" w:eastAsia="Courier New" w:hAnsi="Courier New"/>
          <w:sz w:val="18"/>
          <w:szCs w:val="18"/>
        </w:rPr>
        <w:t xml:space="preserve">datos = pd.read_excel('datos_estudiantes.xlsx')</w:t>
      </w:r>
    </w:p>
    <w:p>
      <w:pPr>
        <w:shd w:fill="F2F2F2" w:val="clear"/>
        <w:spacing w:after="0" w:line="240"/>
      </w:pPr>
      <w:r>
        <w:rPr>
          <w:rFonts w:ascii="Courier New" w:cs="Courier New" w:eastAsia="Courier New" w:hAnsi="Courier New"/>
          <w:sz w:val="18"/>
          <w:szCs w:val="18"/>
        </w:rPr>
        <w:t xml:space="preserve">horas_redes = datos['Horas de consumo de redes sociales por día']</w:t>
      </w:r>
    </w:p>
    <w:p>
      <w:pPr>
        <w:shd w:fill="F2F2F2" w:val="clear"/>
        <w:spacing w:after="0" w:line="240"/>
      </w:pPr>
      <w:r>
        <w:rPr>
          <w:rFonts w:ascii="Courier New" w:cs="Courier New" w:eastAsia="Courier New" w:hAnsi="Courier New"/>
          <w:sz w:val="18"/>
          <w:szCs w:val="18"/>
        </w:rPr>
        <w:t xml:space="preserve">total_estudiantes = len(horas_redes)   # n = 200</w:t>
      </w:r>
    </w:p>
    <w:p>
      <w:pPr>
        <w:shd w:fill="F2F2F2" w:val="clear"/>
        <w:spacing w:after="0" w:line="240"/>
      </w:pPr>
      <w:r>
        <w:rPr>
          <w:rFonts w:ascii="Courier New" w:cs="Courier New" w:eastAsia="Courier New" w:hAnsi="Courier New"/>
          <w:sz w:val="18"/>
          <w:szCs w:val="18"/>
        </w:rPr>
        <w:t xml:space="preserve"/>
      </w:r>
    </w:p>
    <w:p>
      <w:pPr>
        <w:shd w:fill="F2F2F2" w:val="clear"/>
        <w:spacing w:after="0" w:line="240"/>
      </w:pPr>
      <w:r>
        <w:rPr>
          <w:rFonts w:ascii="Courier New" w:cs="Courier New" w:eastAsia="Courier New" w:hAnsi="Courier New"/>
          <w:sz w:val="18"/>
          <w:szCs w:val="18"/>
        </w:rPr>
        <w:t xml:space="preserve"># Construccion de la tabla de frecuencias completa</w:t>
      </w:r>
    </w:p>
    <w:p>
      <w:pPr>
        <w:shd w:fill="F2F2F2" w:val="clear"/>
        <w:spacing w:after="0" w:line="240"/>
      </w:pPr>
      <w:r>
        <w:rPr>
          <w:rFonts w:ascii="Courier New" w:cs="Courier New" w:eastAsia="Courier New" w:hAnsi="Courier New"/>
          <w:sz w:val="18"/>
          <w:szCs w:val="18"/>
        </w:rPr>
        <w:t xml:space="preserve">tabla = horas_redes.value_counts().sort_index().rename_axis('x').reset_index(name='fi')</w:t>
      </w:r>
    </w:p>
    <w:p>
      <w:pPr>
        <w:shd w:fill="F2F2F2" w:val="clear"/>
        <w:spacing w:after="0" w:line="240"/>
      </w:pPr>
      <w:r>
        <w:rPr>
          <w:rFonts w:ascii="Courier New" w:cs="Courier New" w:eastAsia="Courier New" w:hAnsi="Courier New"/>
          <w:sz w:val="18"/>
          <w:szCs w:val="18"/>
        </w:rPr>
        <w:t xml:space="preserve">tabla['Fi']  = tabla['fi'].cumsum()                 # frecuencia absoluta acumulada</w:t>
      </w:r>
    </w:p>
    <w:p>
      <w:pPr>
        <w:shd w:fill="F2F2F2" w:val="clear"/>
        <w:spacing w:after="0" w:line="240"/>
      </w:pPr>
      <w:r>
        <w:rPr>
          <w:rFonts w:ascii="Courier New" w:cs="Courier New" w:eastAsia="Courier New" w:hAnsi="Courier New"/>
          <w:sz w:val="18"/>
          <w:szCs w:val="18"/>
        </w:rPr>
        <w:t xml:space="preserve">tabla['fri'] = tabla['fi'] / total_estudiantes      # frecuencia relativa</w:t>
      </w:r>
    </w:p>
    <w:p>
      <w:pPr>
        <w:shd w:fill="F2F2F2" w:val="clear"/>
        <w:spacing w:after="0" w:line="240"/>
      </w:pPr>
      <w:r>
        <w:rPr>
          <w:rFonts w:ascii="Courier New" w:cs="Courier New" w:eastAsia="Courier New" w:hAnsi="Courier New"/>
          <w:sz w:val="18"/>
          <w:szCs w:val="18"/>
        </w:rPr>
        <w:t xml:space="preserve">tabla['Fri'] = tabla['fri'].cumsum()                # frecuencia relativa acumulada</w:t>
      </w:r>
    </w:p>
    <w:p>
      <w:pPr>
        <w:shd w:fill="F2F2F2" w:val="clear"/>
        <w:spacing w:after="0" w:line="240"/>
      </w:pPr>
      <w:r>
        <w:rPr>
          <w:rFonts w:ascii="Courier New" w:cs="Courier New" w:eastAsia="Courier New" w:hAnsi="Courier New"/>
          <w:sz w:val="18"/>
          <w:szCs w:val="18"/>
        </w:rPr>
        <w:t xml:space="preserve">tabla['pi%'] = tabla['fri'] * 100                   # porcentaje</w:t>
      </w:r>
    </w:p>
    <w:p>
      <w:pPr>
        <w:shd w:fill="F2F2F2" w:val="clear"/>
        <w:spacing w:after="0" w:line="240"/>
      </w:pPr>
      <w:r>
        <w:rPr>
          <w:rFonts w:ascii="Courier New" w:cs="Courier New" w:eastAsia="Courier New" w:hAnsi="Courier New"/>
          <w:sz w:val="18"/>
          <w:szCs w:val="18"/>
        </w:rPr>
        <w:t xml:space="preserve">tabla['Pi%'] = tabla['Fri'] * 100                   # porcentaje acumulado</w:t>
      </w:r>
    </w:p>
    <w:p>
      <w:pPr>
        <w:shd w:fill="F2F2F2" w:val="clear"/>
        <w:spacing w:after="0" w:line="240"/>
      </w:pPr>
      <w:r>
        <w:rPr>
          <w:rFonts w:ascii="Courier New" w:cs="Courier New" w:eastAsia="Courier New" w:hAnsi="Courier New"/>
          <w:sz w:val="18"/>
          <w:szCs w:val="18"/>
        </w:rPr>
        <w:t xml:space="preserve">print(tabla.to_string(index=False))</w:t>
      </w:r>
    </w:p>
    <w:p>
      <w:pPr>
        <w:shd w:fill="F2F2F2" w:val="clear"/>
        <w:spacing w:after="0" w:line="240"/>
      </w:pPr>
      <w:r>
        <w:rPr>
          <w:rFonts w:ascii="Courier New" w:cs="Courier New" w:eastAsia="Courier New" w:hAnsi="Courier New"/>
          <w:sz w:val="18"/>
          <w:szCs w:val="18"/>
        </w:rPr>
        <w:t xml:space="preserve"/>
      </w:r>
    </w:p>
    <w:p>
      <w:pPr>
        <w:shd w:fill="F2F2F2" w:val="clear"/>
        <w:spacing w:after="0" w:line="240"/>
      </w:pPr>
      <w:r>
        <w:rPr>
          <w:rFonts w:ascii="Courier New" w:cs="Courier New" w:eastAsia="Courier New" w:hAnsi="Courier New"/>
          <w:sz w:val="18"/>
          <w:szCs w:val="18"/>
        </w:rPr>
        <w:t xml:space="preserve"># Medida elegida para comparar con la primera etapa: media aritmetica</w:t>
      </w:r>
    </w:p>
    <w:p>
      <w:pPr>
        <w:shd w:fill="F2F2F2" w:val="clear"/>
        <w:spacing w:after="0" w:line="240"/>
      </w:pPr>
      <w:r>
        <w:rPr>
          <w:rFonts w:ascii="Courier New" w:cs="Courier New" w:eastAsia="Courier New" w:hAnsi="Courier New"/>
          <w:sz w:val="18"/>
          <w:szCs w:val="18"/>
        </w:rPr>
        <w:t xml:space="preserve">media_horas = (tabla['x'] * tabla['fi']).sum() / total_estudiantes</w:t>
      </w:r>
    </w:p>
    <w:p>
      <w:pPr>
        <w:shd w:fill="F2F2F2" w:val="clear"/>
        <w:spacing w:after="0" w:line="240"/>
      </w:pPr>
      <w:r>
        <w:rPr>
          <w:rFonts w:ascii="Courier New" w:cs="Courier New" w:eastAsia="Courier New" w:hAnsi="Courier New"/>
          <w:sz w:val="18"/>
          <w:szCs w:val="18"/>
        </w:rPr>
        <w:t xml:space="preserve">print(f'Media aritmetica: {media_horas} horas')     # Resultado: 4.24 horas</w:t>
      </w:r>
    </w:p>
    <w:p>
      <w:pPr>
        <w:spacing w:after="120" w:line="360"/>
      </w:pPr>
      <w:r>
        <w:t xml:space="preserve"/>
      </w:r>
    </w:p>
    <w:p>
      <w:pPr>
        <w:pStyle w:val="Heading2"/>
        <w:spacing w:after="160" w:before="200" w:line="360"/>
      </w:pPr>
      <w:r>
        <w:t xml:space="preserve">Tabla completa de frecuencias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180"/>
        <w:gridCol w:w="1180"/>
        <w:gridCol w:w="1380"/>
        <w:gridCol w:w="1380"/>
        <w:gridCol w:w="1380"/>
        <w:gridCol w:w="1380"/>
      </w:tblGrid>
      <w:tr>
        <w:tc>
          <w:tcPr>
            <w:tcW w:type="dxa" w:w="14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xᵢ (horas)</w:t>
            </w:r>
          </w:p>
        </w:tc>
        <w:tc>
          <w:tcPr>
            <w:tcW w:type="dxa" w:w="11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fᵢ</w:t>
            </w:r>
          </w:p>
        </w:tc>
        <w:tc>
          <w:tcPr>
            <w:tcW w:type="dxa" w:w="11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Fᵢ</w:t>
            </w:r>
          </w:p>
        </w:tc>
        <w:tc>
          <w:tcPr>
            <w:tcW w:type="dxa" w:w="13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frᵢ</w:t>
            </w:r>
          </w:p>
        </w:tc>
        <w:tc>
          <w:tcPr>
            <w:tcW w:type="dxa" w:w="13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Frᵢ</w:t>
            </w:r>
          </w:p>
        </w:tc>
        <w:tc>
          <w:tcPr>
            <w:tcW w:type="dxa" w:w="13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pᵢ %</w:t>
            </w:r>
          </w:p>
        </w:tc>
        <w:tc>
          <w:tcPr>
            <w:tcW w:type="dxa" w:w="13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b/>
                <w:bCs/>
              </w:rPr>
              <w:t xml:space="preserve">Pᵢ %</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24</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24</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0,120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0,120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12,0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12,0</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27</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51</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0,135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0,255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13,5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25,5</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3</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28</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79</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0,140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0,395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14,0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39,5</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4</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32</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111</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0,160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0,555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16,0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55,5</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5</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26</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137</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0,130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0,685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13,0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68,5</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6</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26</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163</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0,130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0,815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13,0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81,5</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7</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24</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187</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0,120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0,935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12,0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93,5</w:t>
            </w:r>
          </w:p>
        </w:tc>
      </w:tr>
      <w:tr>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8</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13</w:t>
            </w:r>
          </w:p>
        </w:tc>
        <w:tc>
          <w:tcPr>
            <w:tcW w:type="dxa" w:w="1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200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0,065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1,000</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6,5</w:t>
            </w:r>
          </w:p>
        </w:tc>
        <w:tc>
          <w:tcPr>
            <w:tcW w:type="dxa" w:w="13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t xml:space="preserve">100,0</w:t>
            </w:r>
          </w:p>
        </w:tc>
      </w:tr>
      <w:tr>
        <w:tc>
          <w:tcPr>
            <w:tcW w:type="dxa" w:w="14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Total</w:t>
            </w:r>
          </w:p>
        </w:tc>
        <w:tc>
          <w:tcPr>
            <w:tcW w:type="dxa" w:w="11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200</w:t>
            </w:r>
          </w:p>
        </w:tc>
        <w:tc>
          <w:tcPr>
            <w:tcW w:type="dxa" w:w="11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w:t>
            </w:r>
          </w:p>
        </w:tc>
        <w:tc>
          <w:tcPr>
            <w:tcW w:type="dxa" w:w="13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1,000</w:t>
            </w:r>
          </w:p>
        </w:tc>
        <w:tc>
          <w:tcPr>
            <w:tcW w:type="dxa" w:w="13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w:t>
            </w:r>
          </w:p>
        </w:tc>
        <w:tc>
          <w:tcPr>
            <w:tcW w:type="dxa" w:w="13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100</w:t>
            </w:r>
          </w:p>
        </w:tc>
        <w:tc>
          <w:tcPr>
            <w:tcW w:type="dxa" w:w="1380"/>
            <w:tcBorders>
              <w:top w:val="single" w:color="999999" w:sz="1"/>
              <w:left w:val="single" w:color="999999" w:sz="1"/>
              <w:bottom w:val="single" w:color="999999" w:sz="1"/>
              <w:right w:val="single" w:color="999999" w:sz="1"/>
            </w:tcBorders>
            <w:shd w:fill="EFEFEF" w:val="clear"/>
            <w:tcMar>
              <w:top w:type="dxa" w:w="60"/>
              <w:left w:type="dxa" w:w="100"/>
              <w:bottom w:type="dxa" w:w="60"/>
              <w:right w:type="dxa" w:w="100"/>
            </w:tcMar>
          </w:tcPr>
          <w:p>
            <w:pPr>
              <w:jc w:val="center"/>
            </w:pPr>
            <w:r>
              <w:rPr>
                <w:b/>
                <w:bCs/>
              </w:rPr>
              <w:t xml:space="preserve">—</w:t>
            </w:r>
          </w:p>
        </w:tc>
      </w:tr>
    </w:tbl>
    <w:p>
      <w:pPr>
        <w:spacing w:after="120" w:line="360"/>
      </w:pPr>
      <w:r>
        <w:rPr>
          <w:i/>
          <w:iCs/>
          <w:sz w:val="20"/>
          <w:szCs w:val="20"/>
        </w:rPr>
        <w:t xml:space="preserve">Referencias: xᵢ = horas diarias; fᵢ = frecuencia absoluta; Fᵢ = frecuencia absoluta acumulada; frᵢ = frecuencia relativa; Frᵢ = frecuencia relativa acumulada; pᵢ% = porcentaje; Pᵢ% = porcentaje acumulado.</w:t>
      </w:r>
    </w:p>
    <w:p>
      <w:pPr>
        <w:pStyle w:val="Heading2"/>
        <w:spacing w:after="160" w:before="200" w:line="360"/>
      </w:pPr>
      <w:r>
        <w:t xml:space="preserve">Lectura de la tabla</w:t>
      </w:r>
    </w:p>
    <w:p>
      <w:pPr>
        <w:spacing w:after="120" w:line="360"/>
      </w:pPr>
      <w:r>
        <w:t xml:space="preserve">El valor más frecuente es 4 horas diarias (32 estudiantes, el 16% de la muestra). El 55,5% de los estudiantes consume hasta 4 horas por día, mientras que el 44,5% restante consume 5 horas o más. Ningún estudiante registró menos de 1 hora ni más de 8 horas diarias.</w:t>
      </w:r>
    </w:p>
    <w:p>
      <w:pPr>
        <w:pStyle w:val="Heading2"/>
        <w:spacing w:after="160" w:before="200" w:line="360"/>
      </w:pPr>
      <w:r>
        <w:t xml:space="preserve">Medida de comparación elegida: media aritmética</w:t>
      </w:r>
    </w:p>
    <w:p>
      <w:pPr>
        <w:spacing w:after="120" w:line="360"/>
      </w:pPr>
      <w:r>
        <w:t xml:space="preserve">Para contrastar estos datos con los de la primera etapa elegimos la </w:t>
      </w:r>
      <w:r>
        <w:rPr>
          <w:b/>
          <w:bCs/>
        </w:rPr>
        <w:t xml:space="preserve">media aritmética</w:t>
      </w:r>
      <w:r>
        <w:t xml:space="preserve">, por ser la medida de tendencia central que resume en un solo valor el nivel general de consumo del grupo y permite una comparación directa entre ambas muestras. Su cálculo a partir de la tabla es:</w:t>
      </w:r>
    </w:p>
    <w:p>
      <w:pPr>
        <w:spacing w:after="120" w:line="360"/>
        <w:jc w:val="center"/>
      </w:pPr>
      <w:r>
        <w:rPr>
          <w:b/>
          <w:bCs/>
        </w:rPr>
        <w:t xml:space="preserve">x̄ = Σ(xᵢ · fᵢ) / n = 848 / 200 = 4,24 horas</w:t>
      </w:r>
    </w:p>
    <w:p>
      <w:pPr>
        <w:pStyle w:val="Heading2"/>
        <w:spacing w:after="160" w:before="200" w:line="360"/>
      </w:pPr>
      <w:r>
        <w:t xml:space="preserve">Interpretación de los resultados</w:t>
      </w:r>
    </w:p>
    <w:p>
      <w:pPr>
        <w:spacing w:after="120" w:line="360"/>
      </w:pPr>
      <w:r>
        <w:t xml:space="preserve">Los 200 estudiantes encuestados consumen redes sociales, en promedio, </w:t>
      </w:r>
      <w:r>
        <w:rPr>
          <w:b/>
          <w:bCs/>
        </w:rPr>
        <w:t xml:space="preserve">4,24 horas por día</w:t>
      </w:r>
      <w:r>
        <w:t xml:space="preserve">. Este valor supera en más de una hora el umbral de las tres horas considerado de riesgo en las etapas anteriores. Al compararlo con la media obtenida en la primera etapa con nuestros propios registros (</w:t>
      </w:r>
      <w:r>
        <w:rPr>
          <w:highlight w:val="yellow"/>
        </w:rPr>
        <w:t xml:space="preserve">4,5 horas</w:t>
      </w:r>
      <w:r>
        <w:t xml:space="preserve">), observamos que ambos grupos presentan un patrón de consumo similar y elevado: nuestro caso particular no es una excepción, sino que refleja una conducta generalizada en la población estudiantil. Además, la mediana y la moda de esta muestra también valen 4 horas, lo que confirma que la distribución es bastante simétrica y que el consumo elevado no se explica por unos pocos casos extremos, sino que está repartido en todo el grupo. En conjunto, los datos respaldan la necesidad de las acciones de reducción propuestas en la segunda etapa.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2026-06-11T14:28:06.725Z</dcterms:created>
  <dcterms:modified xsi:type="dcterms:W3CDTF">2026-06-11T14:28:06.725Z</dcterms:modified>
</cp:coreProperties>
</file>

<file path=docProps/custom.xml><?xml version="1.0" encoding="utf-8"?>
<Properties xmlns="http://schemas.openxmlformats.org/officeDocument/2006/custom-properties" xmlns:vt="http://schemas.openxmlformats.org/officeDocument/2006/docPropsVTypes"/>
</file>