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Executive Summary</w:t>
      </w:r>
    </w:p>
    <w:p>
      <w:pPr>
        <w:pBdr>
          <w:bottom w:val="single" w:color="C0392B" w:sz="12" w:space="6"/>
        </w:pBdr>
        <w:spacing w:after="200"/>
      </w:pPr>
      <w:r>
        <w:rPr>
          <w:rFonts w:ascii="Arial" w:cs="Arial" w:eastAsia="Arial" w:hAnsi="Arial"/>
          <w:color w:val="444444"/>
          <w:sz w:val="24"/>
          <w:szCs w:val="24"/>
        </w:rPr>
        <w:t xml:space="preserve">Customer churn in European retail banking: who is leaving and what it costs</w:t>
      </w:r>
    </w:p>
    <w:p>
      <w:pPr>
        <w:pStyle w:val="Heading2"/>
        <w:keepNext/>
        <w:spacing w:after="100" w:before="200"/>
      </w:pPr>
      <w:r>
        <w:rPr>
          <w:rFonts w:ascii="Arial" w:cs="Arial" w:eastAsia="Arial" w:hAnsi="Arial"/>
          <w:b/>
          <w:bCs/>
          <w:color w:val="1F3A5F"/>
          <w:sz w:val="25"/>
          <w:szCs w:val="25"/>
        </w:rPr>
        <w:t xml:space="preserve">The headline</w:t>
      </w:r>
    </w:p>
    <w:p>
      <w:pPr>
        <w:spacing w:after="120" w:line="276"/>
      </w:pPr>
      <w:r>
        <w:rPr>
          <w:rFonts w:ascii="Arial" w:cs="Arial" w:eastAsia="Arial" w:hAnsi="Arial"/>
          <w:sz w:val="22"/>
          <w:szCs w:val="22"/>
        </w:rPr>
        <w:t xml:space="preserve">One in five customers (20.4%) left the bank. These customers took </w:t>
      </w:r>
      <w:r>
        <w:rPr>
          <w:rFonts w:ascii="Arial" w:cs="Arial" w:eastAsia="Arial" w:hAnsi="Arial"/>
          <w:b/>
          <w:bCs/>
          <w:sz w:val="22"/>
          <w:szCs w:val="22"/>
        </w:rPr>
        <w:t xml:space="preserve">EUR 185.6 million</w:t>
      </w:r>
      <w:r>
        <w:rPr>
          <w:rFonts w:ascii="Arial" w:cs="Arial" w:eastAsia="Arial" w:hAnsi="Arial"/>
          <w:sz w:val="22"/>
          <w:szCs w:val="22"/>
        </w:rPr>
        <w:t xml:space="preserve"> in balances with them, almost a quarter (24%) of all the money the customers in this study held. The losses are not spread evenly: a few clearly identifiable groups account for most of them.</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6"/>
        <w:gridCol w:w="2348"/>
      </w:tblGrid>
      <w:tr>
        <w:trPr>
          <w:cantSplit/>
          <w:tblHeader/>
        </w:trPr>
        <w:tc>
          <w:tcPr>
            <w:tcW w:type="dxa" w:w="234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Customers studied</w:t>
            </w:r>
          </w:p>
        </w:tc>
        <w:tc>
          <w:tcPr>
            <w:tcW w:type="dxa" w:w="234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Customers lost</w:t>
            </w:r>
          </w:p>
        </w:tc>
        <w:tc>
          <w:tcPr>
            <w:tcW w:type="dxa" w:w="234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Churn rate</w:t>
            </w:r>
          </w:p>
        </w:tc>
        <w:tc>
          <w:tcPr>
            <w:tcW w:type="dxa" w:w="2348"/>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Balance lost</w:t>
            </w:r>
          </w:p>
        </w:tc>
      </w:tr>
      <w:tr>
        <w:trPr>
          <w:cantSplit/>
          <w:tblHeader w:val="false"/>
        </w:trPr>
        <w:tc>
          <w:tcPr>
            <w:tcW w:type="dxa" w:w="23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22"/>
                <w:szCs w:val="22"/>
              </w:rPr>
              <w:t xml:space="preserve">10,000</w:t>
            </w:r>
          </w:p>
        </w:tc>
        <w:tc>
          <w:tcPr>
            <w:tcW w:type="dxa" w:w="23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2,037</w:t>
            </w:r>
          </w:p>
        </w:tc>
        <w:tc>
          <w:tcPr>
            <w:tcW w:type="dxa" w:w="23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20.4%</w:t>
            </w:r>
          </w:p>
        </w:tc>
        <w:tc>
          <w:tcPr>
            <w:tcW w:type="dxa" w:w="2348"/>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22"/>
                <w:szCs w:val="22"/>
              </w:rPr>
              <w:t xml:space="preserve">EUR 185.6M</w:t>
            </w:r>
          </w:p>
        </w:tc>
      </w:tr>
    </w:tbl>
    <w:p>
      <w:pPr>
        <w:spacing w:after="120"/>
      </w:pPr>
    </w:p>
    <w:p>
      <w:pPr>
        <w:pStyle w:val="Heading2"/>
        <w:keepNext/>
        <w:spacing w:after="100" w:before="200"/>
      </w:pPr>
      <w:r>
        <w:rPr>
          <w:rFonts w:ascii="Arial" w:cs="Arial" w:eastAsia="Arial" w:hAnsi="Arial"/>
          <w:b/>
          <w:bCs/>
          <w:color w:val="1F3A5F"/>
          <w:sz w:val="25"/>
          <w:szCs w:val="25"/>
        </w:rPr>
        <w:t xml:space="preserve">Where the problem is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86"/>
      </w:tblGrid>
      <w:tr>
        <w:trPr>
          <w:cantSplit/>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pPr>
              <w:jc w:val="left"/>
            </w:pPr>
            <w:r>
              <w:rPr>
                <w:rFonts w:ascii="Arial" w:cs="Arial" w:eastAsia="Arial" w:hAnsi="Arial"/>
                <w:b/>
                <w:bCs/>
                <w:color w:val="FFFFFF"/>
                <w:sz w:val="19"/>
                <w:szCs w:val="19"/>
              </w:rPr>
              <w:t xml:space="preserve">Group</w:t>
            </w:r>
          </w:p>
        </w:tc>
        <w:tc>
          <w:tcPr>
            <w:tcW w:type="dxa" w:w="33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Share who left</w:t>
            </w:r>
          </w:p>
        </w:tc>
        <w:tc>
          <w:tcPr>
            <w:tcW w:type="dxa" w:w="3086"/>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Compared with average</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Germany</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32.4%</w:t>
            </w:r>
          </w:p>
        </w:tc>
        <w:tc>
          <w:tcPr>
            <w:tcW w:type="dxa" w:w="308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1.6x higher</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Customers aged 46-60</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51.1%</w:t>
            </w:r>
          </w:p>
        </w:tc>
        <w:tc>
          <w:tcPr>
            <w:tcW w:type="dxa" w:w="308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2.5x higher</w:t>
            </w:r>
          </w:p>
        </w:tc>
      </w:tr>
      <w:tr>
        <w:trPr>
          <w:cantSplit/>
          <w:tblHeader w:val="false"/>
        </w:trPr>
        <w:tc>
          <w:tcPr>
            <w:tcW w:type="dxa" w:w="3000"/>
            <w:tcBorders>
              <w:top w:val="single" w:color="BBBBBB" w:sz="4"/>
              <w:left w:val="single" w:color="BBBBBB" w:sz="4"/>
              <w:bottom w:val="single" w:color="BBBBBB" w:sz="4"/>
              <w:right w:val="single" w:color="BBBBBB" w:sz="4"/>
            </w:tcBorders>
            <w:shd w:fill="FADBD8"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German customers aged 46-60</w:t>
            </w:r>
          </w:p>
        </w:tc>
        <w:tc>
          <w:tcPr>
            <w:tcW w:type="dxa" w:w="3300"/>
            <w:tcBorders>
              <w:top w:val="single" w:color="BBBBBB" w:sz="4"/>
              <w:left w:val="single" w:color="BBBBBB" w:sz="4"/>
              <w:bottom w:val="single" w:color="BBBBBB" w:sz="4"/>
              <w:right w:val="single" w:color="BBBBBB" w:sz="4"/>
            </w:tcBorders>
            <w:shd w:fill="FADBD8"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67.3%</w:t>
            </w:r>
          </w:p>
        </w:tc>
        <w:tc>
          <w:tcPr>
            <w:tcW w:type="dxa" w:w="3086"/>
            <w:tcBorders>
              <w:top w:val="single" w:color="BBBBBB" w:sz="4"/>
              <w:left w:val="single" w:color="BBBBBB" w:sz="4"/>
              <w:bottom w:val="single" w:color="BBBBBB" w:sz="4"/>
              <w:right w:val="single" w:color="BBBBBB" w:sz="4"/>
            </w:tcBorders>
            <w:shd w:fill="FADBD8"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Highest-risk group</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Inactive members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26.9%</w:t>
            </w:r>
          </w:p>
        </w:tc>
        <w:tc>
          <w:tcPr>
            <w:tcW w:type="dxa" w:w="308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Nearly twice active members (14.3%)</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Women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25.1%</w:t>
            </w:r>
          </w:p>
        </w:tc>
        <w:tc>
          <w:tcPr>
            <w:tcW w:type="dxa" w:w="308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Men: 16.5%</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Customers with 3-4 products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83% - 100%</w:t>
            </w:r>
          </w:p>
        </w:tc>
        <w:tc>
          <w:tcPr>
            <w:tcW w:type="dxa" w:w="308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Only 326 customers, but almost all leave</w:t>
            </w:r>
          </w:p>
        </w:tc>
      </w:tr>
      <w:tr>
        <w:trPr>
          <w:cantSplit/>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France / Spain</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16.2% / 16.7%</w:t>
            </w:r>
          </w:p>
        </w:tc>
        <w:tc>
          <w:tcPr>
            <w:tcW w:type="dxa" w:w="308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Below average</w:t>
            </w:r>
          </w:p>
        </w:tc>
      </w:tr>
    </w:tbl>
    <w:p>
      <w:pPr>
        <w:spacing w:after="120"/>
      </w:pPr>
    </w:p>
    <w:p>
      <w:pPr>
        <w:spacing w:after="120" w:line="276"/>
      </w:pPr>
      <w:r>
        <w:rPr>
          <w:rFonts w:ascii="Arial" w:cs="Arial" w:eastAsia="Arial" w:hAnsi="Arial"/>
          <w:sz w:val="22"/>
          <w:szCs w:val="22"/>
        </w:rPr>
        <w:t xml:space="preserve">Two products is the healthiest position: only 7.6% of customers with two products leave. Credit score, years with the bank and salary make almost no difference to who leaves, so they are not useful ways to find at-risk customers.</w:t>
      </w:r>
    </w:p>
    <w:p>
      <w:pPr>
        <w:pStyle w:val="Heading2"/>
        <w:keepNext/>
        <w:spacing w:after="100" w:before="200"/>
      </w:pPr>
      <w:r>
        <w:rPr>
          <w:rFonts w:ascii="Arial" w:cs="Arial" w:eastAsia="Arial" w:hAnsi="Arial"/>
          <w:b/>
          <w:bCs/>
          <w:color w:val="1F3A5F"/>
          <w:sz w:val="25"/>
          <w:szCs w:val="25"/>
        </w:rPr>
        <w:t xml:space="preserve">What it means for money</w:t>
      </w:r>
    </w:p>
    <w:p>
      <w:pPr>
        <w:spacing w:after="120" w:line="276"/>
      </w:pPr>
      <w:r>
        <w:rPr>
          <w:rFonts w:ascii="Arial" w:cs="Arial" w:eastAsia="Arial" w:hAnsi="Arial"/>
          <w:sz w:val="22"/>
          <w:szCs w:val="22"/>
        </w:rPr>
        <w:t xml:space="preserve">The bank's top 25% of customers by balance (above EUR 127,644) are slightly more likely to leave than others (23.7% vs 19.3%). Those who left took </w:t>
      </w:r>
      <w:r>
        <w:rPr>
          <w:rFonts w:ascii="Arial" w:cs="Arial" w:eastAsia="Arial" w:hAnsi="Arial"/>
          <w:b/>
          <w:bCs/>
          <w:sz w:val="22"/>
          <w:szCs w:val="22"/>
        </w:rPr>
        <w:t xml:space="preserve">EUR 88.7 million</w:t>
      </w:r>
      <w:r>
        <w:rPr>
          <w:rFonts w:ascii="Arial" w:cs="Arial" w:eastAsia="Arial" w:hAnsi="Arial"/>
          <w:sz w:val="22"/>
          <w:szCs w:val="22"/>
        </w:rPr>
        <w:t xml:space="preserve">, nearly half of all lost balances, although they are only 29% of leavers. Germany alone accounts for EUR 98 million of the loss.</w:t>
      </w:r>
    </w:p>
    <w:p>
      <w:pPr>
        <w:pStyle w:val="Heading2"/>
        <w:keepNext/>
        <w:spacing w:after="100" w:before="200"/>
      </w:pPr>
      <w:r>
        <w:rPr>
          <w:rFonts w:ascii="Arial" w:cs="Arial" w:eastAsia="Arial" w:hAnsi="Arial"/>
          <w:b/>
          <w:bCs/>
          <w:color w:val="1F3A5F"/>
          <w:sz w:val="25"/>
          <w:szCs w:val="25"/>
        </w:rPr>
        <w:t xml:space="preserve">What we recommend</w:t>
      </w:r>
    </w:p>
    <w:p>
      <w:pPr>
        <w:pStyle w:val="ListParagraph"/>
        <w:numPr>
          <w:ilvl w:val="0"/>
          <w:numId w:val="2"/>
        </w:numPr>
        <w:spacing w:after="70"/>
      </w:pPr>
      <w:r>
        <w:rPr>
          <w:rFonts w:ascii="Arial" w:cs="Arial" w:eastAsia="Arial" w:hAnsi="Arial"/>
          <w:b/>
          <w:bCs/>
          <w:sz w:val="22"/>
          <w:szCs w:val="22"/>
        </w:rPr>
        <w:t xml:space="preserve">Focus on Germany first. </w:t>
      </w:r>
      <w:r>
        <w:rPr>
          <w:rFonts w:ascii="Arial" w:cs="Arial" w:eastAsia="Arial" w:hAnsi="Arial"/>
          <w:b w:val="false"/>
          <w:bCs w:val="false"/>
          <w:sz w:val="22"/>
          <w:szCs w:val="22"/>
        </w:rPr>
        <w:t xml:space="preserve">Find out why customers there leave and test a targeted retention offer.</w:t>
      </w:r>
    </w:p>
    <w:p>
      <w:pPr>
        <w:pStyle w:val="ListParagraph"/>
        <w:numPr>
          <w:ilvl w:val="0"/>
          <w:numId w:val="2"/>
        </w:numPr>
        <w:spacing w:after="70"/>
      </w:pPr>
      <w:r>
        <w:rPr>
          <w:rFonts w:ascii="Arial" w:cs="Arial" w:eastAsia="Arial" w:hAnsi="Arial"/>
          <w:b/>
          <w:bCs/>
          <w:sz w:val="22"/>
          <w:szCs w:val="22"/>
        </w:rPr>
        <w:t xml:space="preserve">Reach out to customers aged 46-60 </w:t>
      </w:r>
      <w:r>
        <w:rPr>
          <w:rFonts w:ascii="Arial" w:cs="Arial" w:eastAsia="Arial" w:hAnsi="Arial"/>
          <w:b w:val="false"/>
          <w:bCs w:val="false"/>
          <w:sz w:val="22"/>
          <w:szCs w:val="22"/>
        </w:rPr>
        <w:t xml:space="preserve">with personal service and savings or retirement products.</w:t>
      </w:r>
    </w:p>
    <w:p>
      <w:pPr>
        <w:pStyle w:val="ListParagraph"/>
        <w:numPr>
          <w:ilvl w:val="0"/>
          <w:numId w:val="2"/>
        </w:numPr>
        <w:spacing w:after="70"/>
      </w:pPr>
      <w:r>
        <w:rPr>
          <w:rFonts w:ascii="Arial" w:cs="Arial" w:eastAsia="Arial" w:hAnsi="Arial"/>
          <w:b/>
          <w:bCs/>
          <w:sz w:val="22"/>
          <w:szCs w:val="22"/>
        </w:rPr>
        <w:t xml:space="preserve">Spot inactive customers early </w:t>
      </w:r>
      <w:r>
        <w:rPr>
          <w:rFonts w:ascii="Arial" w:cs="Arial" w:eastAsia="Arial" w:hAnsi="Arial"/>
          <w:b w:val="false"/>
          <w:bCs w:val="false"/>
          <w:sz w:val="22"/>
          <w:szCs w:val="22"/>
        </w:rPr>
        <w:t xml:space="preserve">and contact them before they leave.</w:t>
      </w:r>
    </w:p>
    <w:p>
      <w:pPr>
        <w:pStyle w:val="ListParagraph"/>
        <w:numPr>
          <w:ilvl w:val="0"/>
          <w:numId w:val="2"/>
        </w:numPr>
        <w:spacing w:after="70"/>
      </w:pPr>
      <w:r>
        <w:rPr>
          <w:rFonts w:ascii="Arial" w:cs="Arial" w:eastAsia="Arial" w:hAnsi="Arial"/>
          <w:b/>
          <w:bCs/>
          <w:sz w:val="22"/>
          <w:szCs w:val="22"/>
        </w:rPr>
        <w:t xml:space="preserve">Review the 3-4 product packages, </w:t>
      </w:r>
      <w:r>
        <w:rPr>
          <w:rFonts w:ascii="Arial" w:cs="Arial" w:eastAsia="Arial" w:hAnsi="Arial"/>
          <w:b w:val="false"/>
          <w:bCs w:val="false"/>
          <w:sz w:val="22"/>
          <w:szCs w:val="22"/>
        </w:rPr>
        <w:t xml:space="preserve">and encourage single-product customers to take a second product.</w:t>
      </w:r>
    </w:p>
    <w:p>
      <w:pPr>
        <w:pStyle w:val="ListParagraph"/>
        <w:numPr>
          <w:ilvl w:val="0"/>
          <w:numId w:val="2"/>
        </w:numPr>
        <w:spacing w:after="70"/>
      </w:pPr>
      <w:r>
        <w:rPr>
          <w:rFonts w:ascii="Arial" w:cs="Arial" w:eastAsia="Arial" w:hAnsi="Arial"/>
          <w:b/>
          <w:bCs/>
          <w:sz w:val="22"/>
          <w:szCs w:val="22"/>
        </w:rPr>
        <w:t xml:space="preserve">Protect high-balance customers </w:t>
      </w:r>
      <w:r>
        <w:rPr>
          <w:rFonts w:ascii="Arial" w:cs="Arial" w:eastAsia="Arial" w:hAnsi="Arial"/>
          <w:b w:val="false"/>
          <w:bCs w:val="false"/>
          <w:sz w:val="22"/>
          <w:szCs w:val="22"/>
        </w:rPr>
        <w:t xml:space="preserve">with dedicated relationship management.</w:t>
      </w:r>
    </w:p>
    <w:p>
      <w:pPr>
        <w:pStyle w:val="Heading2"/>
        <w:keepNext/>
        <w:spacing w:after="100" w:before="200"/>
      </w:pPr>
      <w:r>
        <w:rPr>
          <w:rFonts w:ascii="Arial" w:cs="Arial" w:eastAsia="Arial" w:hAnsi="Arial"/>
          <w:b/>
          <w:bCs/>
          <w:color w:val="1F3A5F"/>
          <w:sz w:val="25"/>
          <w:szCs w:val="25"/>
        </w:rPr>
        <w:t xml:space="preserve">About this analysis</w:t>
      </w:r>
    </w:p>
    <w:p>
      <w:pPr>
        <w:spacing w:after="120" w:line="276"/>
      </w:pPr>
      <w:r>
        <w:rPr>
          <w:rFonts w:ascii="Arial" w:cs="Arial" w:eastAsia="Arial" w:hAnsi="Arial"/>
          <w:sz w:val="20"/>
          <w:szCs w:val="20"/>
        </w:rPr>
        <w:t xml:space="preserve">The study covers 10,000 customers in France, Germany and Spain. The results describe patterns, not proven causes, and balance is used as an estimate of revenue at risk. An interactive dashboard lets staff explore any customer group and see churn and money at risk update instantly. The full research paper contains the detailed evidence.</w:t>
      </w:r>
    </w:p>
    <w:sectPr>
      <w:footerReference w:type="default" r:id="rId7"/>
      <w:pgSz w:w="11906" w:h="16838"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Executive Summary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 Customer Churn in European Banking</dc:title>
  <dc:creator>Churn Project</dc:creator>
  <cp:lastModifiedBy>Un-named</cp:lastModifiedBy>
  <cp:revision>1</cp:revision>
  <dcterms:created xsi:type="dcterms:W3CDTF">2026-10-18T17:38:35.834Z</dcterms:created>
  <dcterms:modified xsi:type="dcterms:W3CDTF">2026-10-18T17:38:35.834Z</dcterms:modified>
</cp:coreProperties>
</file>

<file path=docProps/custom.xml><?xml version="1.0" encoding="utf-8"?>
<Properties xmlns="http://schemas.openxmlformats.org/officeDocument/2006/custom-properties" xmlns:vt="http://schemas.openxmlformats.org/officeDocument/2006/docPropsVTypes"/>
</file>