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4A09" w14:textId="77777777" w:rsidR="00756EEB" w:rsidRDefault="00000000">
      <w:pPr>
        <w:spacing w:before="1400" w:after="120"/>
        <w:jc w:val="center"/>
      </w:pPr>
      <w:r>
        <w:rPr>
          <w:b/>
          <w:bCs/>
          <w:color w:val="1F3A5F"/>
          <w:sz w:val="44"/>
          <w:szCs w:val="44"/>
        </w:rPr>
        <w:t>Customer Segmentation &amp; Churn Pattern Analytics in European Banking</w:t>
      </w:r>
    </w:p>
    <w:p w14:paraId="7ADD3955" w14:textId="77777777" w:rsidR="00756EEB" w:rsidRDefault="00000000">
      <w:pPr>
        <w:pBdr>
          <w:bottom w:val="single" w:sz="12" w:space="8" w:color="C0392B"/>
        </w:pBdr>
        <w:spacing w:after="80"/>
        <w:jc w:val="center"/>
      </w:pPr>
      <w:r>
        <w:rPr>
          <w:color w:val="444444"/>
          <w:sz w:val="26"/>
          <w:szCs w:val="26"/>
        </w:rPr>
        <w:t>Research Paper: Exploratory Data Analysis, Insights and Recommendations</w:t>
      </w:r>
    </w:p>
    <w:p w14:paraId="72C26040" w14:textId="77777777" w:rsidR="00A86B8B" w:rsidRDefault="00A86B8B" w:rsidP="00A86B8B">
      <w:pPr>
        <w:spacing w:after="400" w:line="276" w:lineRule="auto"/>
        <w:jc w:val="center"/>
      </w:pPr>
      <w:r>
        <w:t>Date: October 2026</w:t>
      </w:r>
      <w:r>
        <w:t xml:space="preserve"> </w:t>
      </w:r>
      <w:r w:rsidR="00000000">
        <w:t>| Proje</w:t>
      </w:r>
      <w:r>
        <w:t>ct</w:t>
      </w:r>
    </w:p>
    <w:p w14:paraId="17E519E1" w14:textId="37EBF929" w:rsidR="00756EEB" w:rsidRDefault="00000000" w:rsidP="00A86B8B">
      <w:pPr>
        <w:spacing w:after="400" w:line="276" w:lineRule="auto"/>
        <w:jc w:val="center"/>
      </w:pPr>
      <w:r>
        <w:t xml:space="preserve">Author: </w:t>
      </w:r>
      <w:r w:rsidR="00A86B8B">
        <w:t>Ramit Singh</w:t>
      </w:r>
    </w:p>
    <w:p w14:paraId="4B1E7DE4" w14:textId="77777777" w:rsidR="00756EEB" w:rsidRDefault="00000000">
      <w:pPr>
        <w:pStyle w:val="Heading1"/>
        <w:keepNext/>
      </w:pPr>
      <w:r>
        <w:rPr>
          <w:color w:val="1F3A5F"/>
        </w:rPr>
        <w:t>Abstract</w:t>
      </w:r>
    </w:p>
    <w:p w14:paraId="6BD073A9" w14:textId="77777777" w:rsidR="00756EEB" w:rsidRDefault="00000000">
      <w:pPr>
        <w:spacing w:after="120" w:line="276" w:lineRule="auto"/>
      </w:pPr>
      <w:r>
        <w:t>Customer churn is one of the largest hidden costs in retail banking. This paper analyses a dataset of 10,000 customers of a European retail bank in France, Spain and Germany to find out who leaves, where, and how much balance the bank loses. Customers were divided into segments by country, age, credit score, tenure and balance, and churn rates were compared across them.</w:t>
      </w:r>
    </w:p>
    <w:p w14:paraId="36F20073" w14:textId="77777777" w:rsidR="00756EEB" w:rsidRDefault="00000000">
      <w:pPr>
        <w:spacing w:after="120" w:line="276" w:lineRule="auto"/>
      </w:pPr>
      <w:r>
        <w:t xml:space="preserve">The overall churn rate is 20.37% (2,037 customers). Churn is highly concentrated: </w:t>
      </w:r>
      <w:r>
        <w:rPr>
          <w:b/>
          <w:bCs/>
        </w:rPr>
        <w:t>Germany (32.4%) churns twice as fast as France (16.2%) and Spain (16.7%); customers aged 46-60 churn at 51.1%; women churn more than men (25.1% vs 16.5%); inactive members churn at 26.9% vs 14.3% for active members; and customers with 3 or 4 products almost all leave.</w:t>
      </w:r>
      <w:r>
        <w:t xml:space="preserve"> Credit score, tenure and salary have little influence. Churned customers hold EUR 185.6 million, or 24.3% of all balances held in the dataset. Recommendations focus on Germany, the 46-60 age group, inactive members and multi-product customers.</w:t>
      </w:r>
    </w:p>
    <w:p w14:paraId="7D07FE89" w14:textId="77777777" w:rsidR="00756EEB" w:rsidRDefault="00000000">
      <w:r>
        <w:br w:type="page"/>
      </w:r>
    </w:p>
    <w:p w14:paraId="36BCC7E7" w14:textId="77777777" w:rsidR="00756EEB" w:rsidRDefault="00000000">
      <w:pPr>
        <w:pStyle w:val="Heading1"/>
        <w:keepNext/>
      </w:pPr>
      <w:r>
        <w:rPr>
          <w:color w:val="1F3A5F"/>
        </w:rPr>
        <w:lastRenderedPageBreak/>
        <w:t>1. Introduction and Problem Statement</w:t>
      </w:r>
    </w:p>
    <w:p w14:paraId="034DC5C2" w14:textId="77777777" w:rsidR="00756EEB" w:rsidRDefault="00000000">
      <w:pPr>
        <w:spacing w:after="120" w:line="276" w:lineRule="auto"/>
      </w:pPr>
      <w:r>
        <w:t>Losing an existing customer reduces lifetime value, raises acquisition costs and makes revenue unstable. Banks usually track a single churn rate, but a single number does not show which customers are leaving or why. Without that detail, retention actions stay generic, reactive and inefficient.</w:t>
      </w:r>
    </w:p>
    <w:p w14:paraId="59A858F9" w14:textId="77777777" w:rsidR="00756EEB" w:rsidRDefault="00000000">
      <w:pPr>
        <w:spacing w:after="120" w:line="276" w:lineRule="auto"/>
      </w:pPr>
      <w:r>
        <w:t>This project answers three questions:</w:t>
      </w:r>
    </w:p>
    <w:p w14:paraId="2A6A3CD3" w14:textId="77777777" w:rsidR="00756EEB" w:rsidRDefault="00000000">
      <w:pPr>
        <w:pStyle w:val="ListParagraph"/>
        <w:numPr>
          <w:ilvl w:val="0"/>
          <w:numId w:val="2"/>
        </w:numPr>
        <w:spacing w:after="70"/>
      </w:pPr>
      <w:r>
        <w:t>Which customer groups are most likely to churn?</w:t>
      </w:r>
    </w:p>
    <w:p w14:paraId="48AC3881" w14:textId="77777777" w:rsidR="00756EEB" w:rsidRDefault="00000000">
      <w:pPr>
        <w:pStyle w:val="ListParagraph"/>
        <w:numPr>
          <w:ilvl w:val="0"/>
          <w:numId w:val="2"/>
        </w:numPr>
        <w:spacing w:after="70"/>
      </w:pPr>
      <w:r>
        <w:t>How does churn differ across countries, age groups and financial profiles?</w:t>
      </w:r>
    </w:p>
    <w:p w14:paraId="12007C24" w14:textId="77777777" w:rsidR="00756EEB" w:rsidRDefault="00000000">
      <w:pPr>
        <w:pStyle w:val="ListParagraph"/>
        <w:numPr>
          <w:ilvl w:val="0"/>
          <w:numId w:val="2"/>
        </w:numPr>
        <w:spacing w:after="70"/>
      </w:pPr>
      <w:r>
        <w:t>Is churn concentrated among high-value or low-value customers, and how much money is at risk?</w:t>
      </w:r>
    </w:p>
    <w:p w14:paraId="37A72B4C" w14:textId="77777777" w:rsidR="00756EEB" w:rsidRDefault="00000000">
      <w:pPr>
        <w:pStyle w:val="Heading2"/>
        <w:keepNext/>
      </w:pPr>
      <w:r>
        <w:rPr>
          <w:color w:val="1F3A5F"/>
        </w:rPr>
        <w:t>Objectives</w:t>
      </w:r>
    </w:p>
    <w:p w14:paraId="2334E19F" w14:textId="77777777" w:rsidR="00756EEB" w:rsidRDefault="00000000">
      <w:pPr>
        <w:pStyle w:val="ListParagraph"/>
        <w:numPr>
          <w:ilvl w:val="0"/>
          <w:numId w:val="2"/>
        </w:numPr>
        <w:spacing w:after="70"/>
      </w:pPr>
      <w:r>
        <w:t>Measure the overall churn rate.</w:t>
      </w:r>
    </w:p>
    <w:p w14:paraId="3EC05087" w14:textId="77777777" w:rsidR="00756EEB" w:rsidRDefault="00000000">
      <w:pPr>
        <w:pStyle w:val="ListParagraph"/>
        <w:numPr>
          <w:ilvl w:val="0"/>
          <w:numId w:val="2"/>
        </w:numPr>
        <w:spacing w:after="70"/>
      </w:pPr>
      <w:r>
        <w:t>Identify the churn distribution across customer segments.</w:t>
      </w:r>
    </w:p>
    <w:p w14:paraId="72DE149F" w14:textId="77777777" w:rsidR="00756EEB" w:rsidRDefault="00000000">
      <w:pPr>
        <w:pStyle w:val="ListParagraph"/>
        <w:numPr>
          <w:ilvl w:val="0"/>
          <w:numId w:val="2"/>
        </w:numPr>
        <w:spacing w:after="70"/>
      </w:pPr>
      <w:r>
        <w:t>Compare churn across European regions.</w:t>
      </w:r>
    </w:p>
    <w:p w14:paraId="4CC9FFD6" w14:textId="77777777" w:rsidR="00756EEB" w:rsidRDefault="00000000">
      <w:pPr>
        <w:pStyle w:val="ListParagraph"/>
        <w:numPr>
          <w:ilvl w:val="0"/>
          <w:numId w:val="2"/>
        </w:numPr>
        <w:spacing w:after="70"/>
      </w:pPr>
      <w:r>
        <w:t>Understand churn among high-value customers, and evaluate engagement and tenure patterns.</w:t>
      </w:r>
    </w:p>
    <w:p w14:paraId="7C689A1E" w14:textId="77777777" w:rsidR="00756EEB" w:rsidRDefault="00000000">
      <w:pPr>
        <w:pStyle w:val="Heading1"/>
        <w:keepNext/>
      </w:pPr>
      <w:r>
        <w:rPr>
          <w:color w:val="1F3A5F"/>
        </w:rPr>
        <w:t>2. Dataset Description</w:t>
      </w:r>
    </w:p>
    <w:p w14:paraId="53ED67E2" w14:textId="77777777" w:rsidR="00756EEB" w:rsidRDefault="00000000">
      <w:pPr>
        <w:spacing w:after="120" w:line="276" w:lineRule="auto"/>
      </w:pPr>
      <w:r>
        <w:t>The dataset contains 10,000 customer records and 14 columns. Each row is one customer. The target variable is Exited (1 = customer left the bank, 0 = customer stayed).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86"/>
      </w:tblGrid>
      <w:tr w:rsidR="00756EEB" w14:paraId="54F0382B" w14:textId="77777777">
        <w:tblPrEx>
          <w:tblCellMar>
            <w:top w:w="0" w:type="dxa"/>
            <w:bottom w:w="0" w:type="dxa"/>
          </w:tblCellMar>
        </w:tblPrEx>
        <w:trPr>
          <w:cantSplit/>
          <w:tblHeader/>
        </w:trPr>
        <w:tc>
          <w:tcPr>
            <w:tcW w:w="2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55B73406" w14:textId="77777777" w:rsidR="00756EEB" w:rsidRDefault="00000000">
            <w:r>
              <w:rPr>
                <w:b/>
                <w:bCs/>
                <w:color w:val="FFFFFF"/>
                <w:sz w:val="19"/>
                <w:szCs w:val="19"/>
              </w:rPr>
              <w:t>Column</w:t>
            </w:r>
          </w:p>
        </w:tc>
        <w:tc>
          <w:tcPr>
            <w:tcW w:w="698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053ABBC" w14:textId="77777777" w:rsidR="00756EEB" w:rsidRDefault="00000000">
            <w:pPr>
              <w:jc w:val="center"/>
            </w:pPr>
            <w:r>
              <w:rPr>
                <w:b/>
                <w:bCs/>
                <w:color w:val="FFFFFF"/>
                <w:sz w:val="19"/>
                <w:szCs w:val="19"/>
              </w:rPr>
              <w:t>Description</w:t>
            </w:r>
          </w:p>
        </w:tc>
      </w:tr>
      <w:tr w:rsidR="00756EEB" w14:paraId="0FB84AAE"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A7A09D" w14:textId="77777777" w:rsidR="00756EEB" w:rsidRDefault="00000000">
            <w:proofErr w:type="spellStart"/>
            <w:r>
              <w:rPr>
                <w:sz w:val="19"/>
                <w:szCs w:val="19"/>
              </w:rPr>
              <w:t>CreditScore</w:t>
            </w:r>
            <w:proofErr w:type="spellEnd"/>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C97C75" w14:textId="77777777" w:rsidR="00756EEB" w:rsidRDefault="00000000">
            <w:pPr>
              <w:jc w:val="center"/>
            </w:pPr>
            <w:r>
              <w:rPr>
                <w:sz w:val="19"/>
                <w:szCs w:val="19"/>
              </w:rPr>
              <w:t>Customer creditworthiness (350-850)</w:t>
            </w:r>
          </w:p>
        </w:tc>
      </w:tr>
      <w:tr w:rsidR="00756EEB" w14:paraId="2B9F02CE"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15B534" w14:textId="77777777" w:rsidR="00756EEB" w:rsidRDefault="00000000">
            <w:r>
              <w:rPr>
                <w:sz w:val="19"/>
                <w:szCs w:val="19"/>
              </w:rPr>
              <w:t>Geography</w:t>
            </w:r>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D54403" w14:textId="77777777" w:rsidR="00756EEB" w:rsidRDefault="00000000">
            <w:pPr>
              <w:jc w:val="center"/>
            </w:pPr>
            <w:r>
              <w:rPr>
                <w:sz w:val="19"/>
                <w:szCs w:val="19"/>
              </w:rPr>
              <w:t>France, Spain or Germany</w:t>
            </w:r>
          </w:p>
        </w:tc>
      </w:tr>
      <w:tr w:rsidR="00756EEB" w14:paraId="27A00552"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3B58E7" w14:textId="77777777" w:rsidR="00756EEB" w:rsidRDefault="00000000">
            <w:r>
              <w:rPr>
                <w:sz w:val="19"/>
                <w:szCs w:val="19"/>
              </w:rPr>
              <w:t>Gender</w:t>
            </w:r>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CE5503" w14:textId="77777777" w:rsidR="00756EEB" w:rsidRDefault="00000000">
            <w:pPr>
              <w:jc w:val="center"/>
            </w:pPr>
            <w:r>
              <w:rPr>
                <w:sz w:val="19"/>
                <w:szCs w:val="19"/>
              </w:rPr>
              <w:t>Male / Female</w:t>
            </w:r>
          </w:p>
        </w:tc>
      </w:tr>
      <w:tr w:rsidR="00756EEB" w14:paraId="47C84359"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F8DB3A" w14:textId="77777777" w:rsidR="00756EEB" w:rsidRDefault="00000000">
            <w:r>
              <w:rPr>
                <w:sz w:val="19"/>
                <w:szCs w:val="19"/>
              </w:rPr>
              <w:t>Age</w:t>
            </w:r>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FF2201" w14:textId="77777777" w:rsidR="00756EEB" w:rsidRDefault="00000000">
            <w:pPr>
              <w:jc w:val="center"/>
            </w:pPr>
            <w:r>
              <w:rPr>
                <w:sz w:val="19"/>
                <w:szCs w:val="19"/>
              </w:rPr>
              <w:t>Customer age (18-92)</w:t>
            </w:r>
          </w:p>
        </w:tc>
      </w:tr>
      <w:tr w:rsidR="00756EEB" w14:paraId="1E8010C6"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CC9601" w14:textId="77777777" w:rsidR="00756EEB" w:rsidRDefault="00000000">
            <w:r>
              <w:rPr>
                <w:sz w:val="19"/>
                <w:szCs w:val="19"/>
              </w:rPr>
              <w:t>Tenure</w:t>
            </w:r>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A39B0E" w14:textId="77777777" w:rsidR="00756EEB" w:rsidRDefault="00000000">
            <w:pPr>
              <w:jc w:val="center"/>
            </w:pPr>
            <w:r>
              <w:rPr>
                <w:sz w:val="19"/>
                <w:szCs w:val="19"/>
              </w:rPr>
              <w:t>Years with the bank (0-10)</w:t>
            </w:r>
          </w:p>
        </w:tc>
      </w:tr>
      <w:tr w:rsidR="00756EEB" w14:paraId="20F92837"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10479C" w14:textId="77777777" w:rsidR="00756EEB" w:rsidRDefault="00000000">
            <w:r>
              <w:rPr>
                <w:sz w:val="19"/>
                <w:szCs w:val="19"/>
              </w:rPr>
              <w:t>Balance</w:t>
            </w:r>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97F0AF" w14:textId="77777777" w:rsidR="00756EEB" w:rsidRDefault="00000000">
            <w:pPr>
              <w:jc w:val="center"/>
            </w:pPr>
            <w:r>
              <w:rPr>
                <w:sz w:val="19"/>
                <w:szCs w:val="19"/>
              </w:rPr>
              <w:t>Account balance in EUR</w:t>
            </w:r>
          </w:p>
        </w:tc>
      </w:tr>
      <w:tr w:rsidR="00756EEB" w14:paraId="12DEA312"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889A21" w14:textId="77777777" w:rsidR="00756EEB" w:rsidRDefault="00000000">
            <w:r>
              <w:rPr>
                <w:sz w:val="19"/>
                <w:szCs w:val="19"/>
              </w:rPr>
              <w:t>NumOfProducts</w:t>
            </w:r>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8D96CA" w14:textId="77777777" w:rsidR="00756EEB" w:rsidRDefault="00000000">
            <w:pPr>
              <w:jc w:val="center"/>
            </w:pPr>
            <w:r>
              <w:rPr>
                <w:sz w:val="19"/>
                <w:szCs w:val="19"/>
              </w:rPr>
              <w:t>Number of bank products held (1-4)</w:t>
            </w:r>
          </w:p>
        </w:tc>
      </w:tr>
      <w:tr w:rsidR="00756EEB" w14:paraId="62964588"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229B4C" w14:textId="77777777" w:rsidR="00756EEB" w:rsidRDefault="00000000">
            <w:proofErr w:type="spellStart"/>
            <w:r>
              <w:rPr>
                <w:sz w:val="19"/>
                <w:szCs w:val="19"/>
              </w:rPr>
              <w:t>HasCrCard</w:t>
            </w:r>
            <w:proofErr w:type="spellEnd"/>
            <w:r>
              <w:rPr>
                <w:sz w:val="19"/>
                <w:szCs w:val="19"/>
              </w:rPr>
              <w:t xml:space="preserve"> / </w:t>
            </w:r>
            <w:proofErr w:type="spellStart"/>
            <w:r>
              <w:rPr>
                <w:sz w:val="19"/>
                <w:szCs w:val="19"/>
              </w:rPr>
              <w:t>IsActiveMember</w:t>
            </w:r>
            <w:proofErr w:type="spellEnd"/>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AC571A" w14:textId="77777777" w:rsidR="00756EEB" w:rsidRDefault="00000000">
            <w:pPr>
              <w:jc w:val="center"/>
            </w:pPr>
            <w:r>
              <w:rPr>
                <w:sz w:val="19"/>
                <w:szCs w:val="19"/>
              </w:rPr>
              <w:t>Credit card ownership / activity indicator (0 or 1)</w:t>
            </w:r>
          </w:p>
        </w:tc>
      </w:tr>
      <w:tr w:rsidR="00756EEB" w14:paraId="2EE55A1B"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F64F02" w14:textId="77777777" w:rsidR="00756EEB" w:rsidRDefault="00000000">
            <w:proofErr w:type="spellStart"/>
            <w:r>
              <w:rPr>
                <w:sz w:val="19"/>
                <w:szCs w:val="19"/>
              </w:rPr>
              <w:t>EstimatedSalary</w:t>
            </w:r>
            <w:proofErr w:type="spellEnd"/>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41DDC3" w14:textId="77777777" w:rsidR="00756EEB" w:rsidRDefault="00000000">
            <w:pPr>
              <w:jc w:val="center"/>
            </w:pPr>
            <w:r>
              <w:rPr>
                <w:sz w:val="19"/>
                <w:szCs w:val="19"/>
              </w:rPr>
              <w:t>Estimated annual salary in EUR</w:t>
            </w:r>
          </w:p>
        </w:tc>
      </w:tr>
      <w:tr w:rsidR="00756EEB" w14:paraId="636F61BD"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BE969A" w14:textId="77777777" w:rsidR="00756EEB" w:rsidRDefault="00000000">
            <w:r>
              <w:rPr>
                <w:sz w:val="19"/>
                <w:szCs w:val="19"/>
              </w:rPr>
              <w:t>Exited</w:t>
            </w:r>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A44ECA" w14:textId="77777777" w:rsidR="00756EEB" w:rsidRDefault="00000000">
            <w:pPr>
              <w:jc w:val="center"/>
            </w:pPr>
            <w:r>
              <w:rPr>
                <w:sz w:val="19"/>
                <w:szCs w:val="19"/>
              </w:rPr>
              <w:t>Churn indicator (target)</w:t>
            </w:r>
          </w:p>
        </w:tc>
      </w:tr>
      <w:tr w:rsidR="00756EEB" w14:paraId="4B6898FE" w14:textId="77777777">
        <w:tblPrEx>
          <w:tblCellMar>
            <w:top w:w="0" w:type="dxa"/>
            <w:bottom w:w="0" w:type="dxa"/>
          </w:tblCellMar>
        </w:tblPrEx>
        <w:trPr>
          <w:cantSplit/>
        </w:trPr>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057F01" w14:textId="77777777" w:rsidR="00756EEB" w:rsidRDefault="00000000">
            <w:r>
              <w:rPr>
                <w:sz w:val="19"/>
                <w:szCs w:val="19"/>
              </w:rPr>
              <w:t xml:space="preserve">Year, </w:t>
            </w:r>
            <w:proofErr w:type="spellStart"/>
            <w:r>
              <w:rPr>
                <w:sz w:val="19"/>
                <w:szCs w:val="19"/>
              </w:rPr>
              <w:t>CustomerId</w:t>
            </w:r>
            <w:proofErr w:type="spellEnd"/>
            <w:r>
              <w:rPr>
                <w:sz w:val="19"/>
                <w:szCs w:val="19"/>
              </w:rPr>
              <w:t>, Surname</w:t>
            </w:r>
          </w:p>
        </w:tc>
        <w:tc>
          <w:tcPr>
            <w:tcW w:w="69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E6200E" w14:textId="77777777" w:rsidR="00756EEB" w:rsidRDefault="00000000">
            <w:pPr>
              <w:jc w:val="center"/>
            </w:pPr>
            <w:r>
              <w:rPr>
                <w:sz w:val="19"/>
                <w:szCs w:val="19"/>
              </w:rPr>
              <w:t xml:space="preserve">Year is 2025 for all rows; </w:t>
            </w:r>
            <w:proofErr w:type="spellStart"/>
            <w:r>
              <w:rPr>
                <w:sz w:val="19"/>
                <w:szCs w:val="19"/>
              </w:rPr>
              <w:t>CustomerId</w:t>
            </w:r>
            <w:proofErr w:type="spellEnd"/>
            <w:r>
              <w:rPr>
                <w:sz w:val="19"/>
                <w:szCs w:val="19"/>
              </w:rPr>
              <w:t xml:space="preserve"> and Surname are identifiers. All three were removed.</w:t>
            </w:r>
          </w:p>
        </w:tc>
      </w:tr>
    </w:tbl>
    <w:p w14:paraId="06C2354C" w14:textId="77777777" w:rsidR="00756EEB" w:rsidRDefault="00756EEB">
      <w:pPr>
        <w:spacing w:after="120"/>
      </w:pPr>
    </w:p>
    <w:p w14:paraId="63836319" w14:textId="77777777" w:rsidR="00756EEB" w:rsidRDefault="00000000">
      <w:pPr>
        <w:pStyle w:val="Heading1"/>
        <w:keepNext/>
      </w:pPr>
      <w:r>
        <w:rPr>
          <w:color w:val="1F3A5F"/>
        </w:rPr>
        <w:t>3. Methodology</w:t>
      </w:r>
    </w:p>
    <w:p w14:paraId="427DA2A7" w14:textId="77777777" w:rsidR="00756EEB" w:rsidRDefault="00000000">
      <w:pPr>
        <w:pStyle w:val="Heading2"/>
        <w:keepNext/>
      </w:pPr>
      <w:r>
        <w:rPr>
          <w:color w:val="1F3A5F"/>
        </w:rPr>
        <w:t>3.1 Data validation</w:t>
      </w:r>
    </w:p>
    <w:p w14:paraId="68D5C213" w14:textId="77777777" w:rsidR="00756EEB" w:rsidRDefault="00000000">
      <w:pPr>
        <w:spacing w:after="120" w:line="276" w:lineRule="auto"/>
      </w:pPr>
      <w:r>
        <w:t>Before any analysis the data was checked for quality. The results were:</w:t>
      </w:r>
    </w:p>
    <w:p w14:paraId="6B8331D6" w14:textId="77777777" w:rsidR="00756EEB" w:rsidRDefault="00000000">
      <w:pPr>
        <w:pStyle w:val="ListParagraph"/>
        <w:numPr>
          <w:ilvl w:val="0"/>
          <w:numId w:val="2"/>
        </w:numPr>
        <w:spacing w:after="70"/>
      </w:pPr>
      <w:r>
        <w:t>No missing values and no duplicate rows in any column.</w:t>
      </w:r>
    </w:p>
    <w:p w14:paraId="231BBDE7" w14:textId="77777777" w:rsidR="00756EEB" w:rsidRDefault="00000000">
      <w:pPr>
        <w:pStyle w:val="ListParagraph"/>
        <w:numPr>
          <w:ilvl w:val="0"/>
          <w:numId w:val="2"/>
        </w:numPr>
        <w:spacing w:after="70"/>
      </w:pPr>
      <w:proofErr w:type="spellStart"/>
      <w:r>
        <w:t>CustomerId</w:t>
      </w:r>
      <w:proofErr w:type="spellEnd"/>
      <w:r>
        <w:t xml:space="preserve"> is unique, so every customer appears once.</w:t>
      </w:r>
    </w:p>
    <w:p w14:paraId="7A5114C4" w14:textId="77777777" w:rsidR="00756EEB" w:rsidRDefault="00000000">
      <w:pPr>
        <w:pStyle w:val="ListParagraph"/>
        <w:numPr>
          <w:ilvl w:val="0"/>
          <w:numId w:val="2"/>
        </w:numPr>
        <w:spacing w:after="70"/>
      </w:pPr>
      <w:proofErr w:type="spellStart"/>
      <w:r>
        <w:t>HasCrCard</w:t>
      </w:r>
      <w:proofErr w:type="spellEnd"/>
      <w:r>
        <w:t xml:space="preserve">, </w:t>
      </w:r>
      <w:proofErr w:type="spellStart"/>
      <w:r>
        <w:t>IsActiveMember</w:t>
      </w:r>
      <w:proofErr w:type="spellEnd"/>
      <w:r>
        <w:t xml:space="preserve"> and Exited contain only 0 and 1.</w:t>
      </w:r>
    </w:p>
    <w:p w14:paraId="139698D8" w14:textId="77777777" w:rsidR="00756EEB" w:rsidRDefault="00000000">
      <w:pPr>
        <w:pStyle w:val="ListParagraph"/>
        <w:numPr>
          <w:ilvl w:val="0"/>
          <w:numId w:val="2"/>
        </w:numPr>
        <w:spacing w:after="70"/>
      </w:pPr>
      <w:r>
        <w:lastRenderedPageBreak/>
        <w:t>Geography contains only France, Spain and Germany; Gender only Male and Female.</w:t>
      </w:r>
    </w:p>
    <w:p w14:paraId="137250D7" w14:textId="77777777" w:rsidR="00756EEB" w:rsidRDefault="00000000">
      <w:pPr>
        <w:pStyle w:val="ListParagraph"/>
        <w:numPr>
          <w:ilvl w:val="0"/>
          <w:numId w:val="2"/>
        </w:numPr>
        <w:spacing w:after="70"/>
      </w:pPr>
      <w:r>
        <w:t>NumOfProducts ranges from 1 to 4 (5,084 / 4,590 / 266 / 60 customers).</w:t>
      </w:r>
    </w:p>
    <w:p w14:paraId="23940EB1" w14:textId="77777777" w:rsidR="00756EEB" w:rsidRDefault="00000000">
      <w:pPr>
        <w:pStyle w:val="ListParagraph"/>
        <w:numPr>
          <w:ilvl w:val="0"/>
          <w:numId w:val="2"/>
        </w:numPr>
        <w:spacing w:after="70"/>
      </w:pPr>
      <w:r>
        <w:t>Exited: 7,963 customers stayed and 2,037 left, which gives the churn label we use throughout.</w:t>
      </w:r>
    </w:p>
    <w:p w14:paraId="020453D4" w14:textId="77777777" w:rsidR="00756EEB" w:rsidRDefault="00000000">
      <w:pPr>
        <w:pStyle w:val="Heading2"/>
        <w:keepNext/>
      </w:pPr>
      <w:r>
        <w:rPr>
          <w:color w:val="1F3A5F"/>
        </w:rPr>
        <w:t>3.2 Cleaning and segmentation</w:t>
      </w:r>
    </w:p>
    <w:p w14:paraId="7B108FFA" w14:textId="77777777" w:rsidR="00756EEB" w:rsidRDefault="00000000">
      <w:pPr>
        <w:spacing w:after="120" w:line="276" w:lineRule="auto"/>
      </w:pPr>
      <w:r>
        <w:t xml:space="preserve">Surname, </w:t>
      </w:r>
      <w:proofErr w:type="spellStart"/>
      <w:r>
        <w:t>CustomerId</w:t>
      </w:r>
      <w:proofErr w:type="spellEnd"/>
      <w:r>
        <w:t xml:space="preserve"> and Year were removed because they carry no analytical meaning. Five segmentation dimensions were then created, using the cut-offs below.</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86"/>
      </w:tblGrid>
      <w:tr w:rsidR="00756EEB" w14:paraId="2A350D9E" w14:textId="77777777">
        <w:tblPrEx>
          <w:tblCellMar>
            <w:top w:w="0" w:type="dxa"/>
            <w:bottom w:w="0" w:type="dxa"/>
          </w:tblCellMar>
        </w:tblPrEx>
        <w:trPr>
          <w:cantSplit/>
          <w:tblHeader/>
        </w:trPr>
        <w:tc>
          <w:tcPr>
            <w:tcW w:w="22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45707138" w14:textId="77777777" w:rsidR="00756EEB" w:rsidRDefault="00000000">
            <w:r>
              <w:rPr>
                <w:b/>
                <w:bCs/>
                <w:color w:val="FFFFFF"/>
                <w:sz w:val="19"/>
                <w:szCs w:val="19"/>
              </w:rPr>
              <w:t>Dimension</w:t>
            </w:r>
          </w:p>
        </w:tc>
        <w:tc>
          <w:tcPr>
            <w:tcW w:w="3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5B44471" w14:textId="77777777" w:rsidR="00756EEB" w:rsidRDefault="00000000">
            <w:pPr>
              <w:jc w:val="center"/>
            </w:pPr>
            <w:r>
              <w:rPr>
                <w:b/>
                <w:bCs/>
                <w:color w:val="FFFFFF"/>
                <w:sz w:val="19"/>
                <w:szCs w:val="19"/>
              </w:rPr>
              <w:t>Groups (cut-offs)</w:t>
            </w:r>
          </w:p>
        </w:tc>
        <w:tc>
          <w:tcPr>
            <w:tcW w:w="418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FB26762" w14:textId="77777777" w:rsidR="00756EEB" w:rsidRDefault="00000000">
            <w:pPr>
              <w:jc w:val="center"/>
            </w:pPr>
            <w:r>
              <w:rPr>
                <w:b/>
                <w:bCs/>
                <w:color w:val="FFFFFF"/>
                <w:sz w:val="19"/>
                <w:szCs w:val="19"/>
              </w:rPr>
              <w:t>Justification</w:t>
            </w:r>
          </w:p>
        </w:tc>
      </w:tr>
      <w:tr w:rsidR="00756EEB" w14:paraId="78F05222"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583958" w14:textId="77777777" w:rsidR="00756EEB" w:rsidRDefault="00000000">
            <w:r>
              <w:rPr>
                <w:sz w:val="19"/>
                <w:szCs w:val="19"/>
              </w:rPr>
              <w:t>Geography</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9CC1BA" w14:textId="77777777" w:rsidR="00756EEB" w:rsidRDefault="00000000">
            <w:pPr>
              <w:jc w:val="center"/>
            </w:pPr>
            <w:r>
              <w:rPr>
                <w:sz w:val="19"/>
                <w:szCs w:val="19"/>
              </w:rPr>
              <w:t>France, Spain, Germany</w:t>
            </w:r>
          </w:p>
        </w:tc>
        <w:tc>
          <w:tcPr>
            <w:tcW w:w="41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C0F7D5" w14:textId="77777777" w:rsidR="00756EEB" w:rsidRDefault="00000000">
            <w:pPr>
              <w:jc w:val="center"/>
            </w:pPr>
            <w:r>
              <w:rPr>
                <w:sz w:val="19"/>
                <w:szCs w:val="19"/>
              </w:rPr>
              <w:t>Given in the data</w:t>
            </w:r>
          </w:p>
        </w:tc>
      </w:tr>
      <w:tr w:rsidR="00756EEB" w14:paraId="05248A61"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8BE58D" w14:textId="77777777" w:rsidR="00756EEB" w:rsidRDefault="00000000">
            <w:r>
              <w:rPr>
                <w:sz w:val="19"/>
                <w:szCs w:val="19"/>
              </w:rPr>
              <w:t>Age Group</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F22E29" w14:textId="77777777" w:rsidR="00756EEB" w:rsidRDefault="00000000">
            <w:pPr>
              <w:jc w:val="center"/>
            </w:pPr>
            <w:r>
              <w:rPr>
                <w:sz w:val="19"/>
                <w:szCs w:val="19"/>
              </w:rPr>
              <w:t>&lt;30, 30-45, 46-60, 60+</w:t>
            </w:r>
          </w:p>
        </w:tc>
        <w:tc>
          <w:tcPr>
            <w:tcW w:w="41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E1AFDC" w14:textId="77777777" w:rsidR="00756EEB" w:rsidRDefault="00000000">
            <w:pPr>
              <w:jc w:val="center"/>
            </w:pPr>
            <w:r>
              <w:rPr>
                <w:sz w:val="19"/>
                <w:szCs w:val="19"/>
              </w:rPr>
              <w:t>As specified in the project brief</w:t>
            </w:r>
          </w:p>
        </w:tc>
      </w:tr>
      <w:tr w:rsidR="00756EEB" w14:paraId="3C27AA69"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DD5DAA" w14:textId="77777777" w:rsidR="00756EEB" w:rsidRDefault="00000000">
            <w:r>
              <w:rPr>
                <w:sz w:val="19"/>
                <w:szCs w:val="19"/>
              </w:rPr>
              <w:t>Credit Band</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5F25F6" w14:textId="77777777" w:rsidR="00756EEB" w:rsidRDefault="00000000">
            <w:pPr>
              <w:jc w:val="center"/>
            </w:pPr>
            <w:r>
              <w:rPr>
                <w:sz w:val="19"/>
                <w:szCs w:val="19"/>
              </w:rPr>
              <w:t>Low (&lt;=579), Medium (580-669), High (&gt;=670)</w:t>
            </w:r>
          </w:p>
        </w:tc>
        <w:tc>
          <w:tcPr>
            <w:tcW w:w="41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403B16" w14:textId="77777777" w:rsidR="00756EEB" w:rsidRDefault="00000000">
            <w:pPr>
              <w:jc w:val="center"/>
            </w:pPr>
            <w:r>
              <w:rPr>
                <w:sz w:val="19"/>
                <w:szCs w:val="19"/>
              </w:rPr>
              <w:t>Common credit score ranges used in lending</w:t>
            </w:r>
          </w:p>
        </w:tc>
      </w:tr>
      <w:tr w:rsidR="00756EEB" w14:paraId="1EE51E11"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C15BE1" w14:textId="77777777" w:rsidR="00756EEB" w:rsidRDefault="00000000">
            <w:r>
              <w:rPr>
                <w:sz w:val="19"/>
                <w:szCs w:val="19"/>
              </w:rPr>
              <w:t>Tenure Group</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EEA97F" w14:textId="77777777" w:rsidR="00756EEB" w:rsidRDefault="00000000">
            <w:pPr>
              <w:jc w:val="center"/>
            </w:pPr>
            <w:r>
              <w:rPr>
                <w:sz w:val="19"/>
                <w:szCs w:val="19"/>
              </w:rPr>
              <w:t>New (0-2), Mid-term (3-6), Long-term (7-10 years)</w:t>
            </w:r>
          </w:p>
        </w:tc>
        <w:tc>
          <w:tcPr>
            <w:tcW w:w="41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E9300C" w14:textId="77777777" w:rsidR="00756EEB" w:rsidRDefault="00000000">
            <w:pPr>
              <w:jc w:val="center"/>
            </w:pPr>
            <w:r>
              <w:rPr>
                <w:sz w:val="19"/>
                <w:szCs w:val="19"/>
              </w:rPr>
              <w:t xml:space="preserve">Roughly equal thirds of the </w:t>
            </w:r>
            <w:proofErr w:type="gramStart"/>
            <w:r>
              <w:rPr>
                <w:sz w:val="19"/>
                <w:szCs w:val="19"/>
              </w:rPr>
              <w:t>0-10 year</w:t>
            </w:r>
            <w:proofErr w:type="gramEnd"/>
            <w:r>
              <w:rPr>
                <w:sz w:val="19"/>
                <w:szCs w:val="19"/>
              </w:rPr>
              <w:t xml:space="preserve"> range</w:t>
            </w:r>
          </w:p>
        </w:tc>
      </w:tr>
      <w:tr w:rsidR="00756EEB" w14:paraId="65224914"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BF469E" w14:textId="77777777" w:rsidR="00756EEB" w:rsidRDefault="00000000">
            <w:r>
              <w:rPr>
                <w:sz w:val="19"/>
                <w:szCs w:val="19"/>
              </w:rPr>
              <w:t>Balance Segment</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051071" w14:textId="77777777" w:rsidR="00756EEB" w:rsidRDefault="00000000">
            <w:pPr>
              <w:jc w:val="center"/>
            </w:pPr>
            <w:r>
              <w:rPr>
                <w:sz w:val="19"/>
                <w:szCs w:val="19"/>
              </w:rPr>
              <w:t>Zero-balance; Low (below EUR 119,840); High (EUR 119,840 and above)</w:t>
            </w:r>
          </w:p>
        </w:tc>
        <w:tc>
          <w:tcPr>
            <w:tcW w:w="41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5467E2" w14:textId="77777777" w:rsidR="00756EEB" w:rsidRDefault="00000000">
            <w:pPr>
              <w:jc w:val="center"/>
            </w:pPr>
            <w:r>
              <w:rPr>
                <w:sz w:val="19"/>
                <w:szCs w:val="19"/>
              </w:rPr>
              <w:t>Zero is its own group; the others are split at the median of non-zero balances</w:t>
            </w:r>
          </w:p>
        </w:tc>
      </w:tr>
    </w:tbl>
    <w:p w14:paraId="6F5A7E79" w14:textId="77777777" w:rsidR="00756EEB" w:rsidRDefault="00756EEB">
      <w:pPr>
        <w:spacing w:after="120"/>
      </w:pPr>
    </w:p>
    <w:p w14:paraId="7DB2CB9C" w14:textId="77777777" w:rsidR="00756EEB" w:rsidRDefault="00000000">
      <w:pPr>
        <w:pStyle w:val="Heading2"/>
        <w:keepNext/>
      </w:pPr>
      <w:r>
        <w:rPr>
          <w:color w:val="1F3A5F"/>
        </w:rPr>
        <w:t>3.3 Metrics used</w:t>
      </w:r>
    </w:p>
    <w:p w14:paraId="4F3A0FFD" w14:textId="77777777" w:rsidR="00756EEB" w:rsidRDefault="00000000">
      <w:pPr>
        <w:spacing w:after="120" w:line="276" w:lineRule="auto"/>
      </w:pPr>
      <w:r>
        <w:t xml:space="preserve">Because Exited is 0/1, the average of Exited for a group equals that group's churn rate. For each segment we report (a) the churn rate, (b) the churn contribution, meaning its share of all churners, and (c) a risk index, meaning segment churn divided by overall churn (above 1.0 is worse than average). All work was done in Python (pandas, </w:t>
      </w:r>
      <w:proofErr w:type="spellStart"/>
      <w:r>
        <w:t>numpy</w:t>
      </w:r>
      <w:proofErr w:type="spellEnd"/>
      <w:r>
        <w:t xml:space="preserve">, </w:t>
      </w:r>
      <w:proofErr w:type="spellStart"/>
      <w:r>
        <w:t>plotly</w:t>
      </w:r>
      <w:proofErr w:type="spellEnd"/>
      <w:r>
        <w:t xml:space="preserve">, matplotlib, seaborn) and the dashboard in </w:t>
      </w:r>
      <w:proofErr w:type="spellStart"/>
      <w:r>
        <w:t>Streamlit</w:t>
      </w:r>
      <w:proofErr w:type="spellEnd"/>
      <w:r>
        <w:t>.</w:t>
      </w:r>
    </w:p>
    <w:p w14:paraId="0184418B" w14:textId="77777777" w:rsidR="00756EEB" w:rsidRDefault="00000000">
      <w:pPr>
        <w:pStyle w:val="Heading1"/>
        <w:keepNext/>
      </w:pPr>
      <w:r>
        <w:rPr>
          <w:color w:val="1F3A5F"/>
        </w:rPr>
        <w:t>4. Exploratory Data Analysis and Findings</w:t>
      </w:r>
    </w:p>
    <w:p w14:paraId="49D322CC" w14:textId="77777777" w:rsidR="00756EEB" w:rsidRDefault="00000000">
      <w:pPr>
        <w:pStyle w:val="Heading2"/>
        <w:keepNext/>
      </w:pPr>
      <w:r>
        <w:rPr>
          <w:color w:val="1F3A5F"/>
        </w:rPr>
        <w:t>4.1 Overall churn</w:t>
      </w:r>
    </w:p>
    <w:p w14:paraId="43EAD9E1" w14:textId="77777777" w:rsidR="00756EEB" w:rsidRDefault="00000000">
      <w:pPr>
        <w:spacing w:after="120" w:line="276" w:lineRule="auto"/>
      </w:pPr>
      <w:r>
        <w:t xml:space="preserve">Of 10,000 customers, 2,037 left, an overall churn rate of </w:t>
      </w:r>
      <w:r>
        <w:rPr>
          <w:b/>
          <w:bCs/>
        </w:rPr>
        <w:t>20.37%</w:t>
      </w:r>
      <w:r>
        <w:t>. About one in five customers is lost. This is the benchmark against which all segments are compared.</w:t>
      </w:r>
    </w:p>
    <w:p w14:paraId="23B57604" w14:textId="77777777" w:rsidR="00756EEB" w:rsidRDefault="00000000">
      <w:pPr>
        <w:pStyle w:val="Heading2"/>
        <w:keepNext/>
      </w:pPr>
      <w:r>
        <w:rPr>
          <w:color w:val="1F3A5F"/>
        </w:rPr>
        <w:t>4.2 Geography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900"/>
        <w:gridCol w:w="1886"/>
      </w:tblGrid>
      <w:tr w:rsidR="00756EEB" w14:paraId="2E05C04D" w14:textId="77777777">
        <w:tblPrEx>
          <w:tblCellMar>
            <w:top w:w="0" w:type="dxa"/>
            <w:bottom w:w="0" w:type="dxa"/>
          </w:tblCellMar>
        </w:tblPrEx>
        <w:trPr>
          <w:cantSplit/>
          <w:tblHeader/>
        </w:trPr>
        <w:tc>
          <w:tcPr>
            <w:tcW w:w="2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37D32CD" w14:textId="77777777" w:rsidR="00756EEB" w:rsidRDefault="00000000">
            <w:r>
              <w:rPr>
                <w:b/>
                <w:bCs/>
                <w:color w:val="FFFFFF"/>
                <w:sz w:val="19"/>
                <w:szCs w:val="19"/>
              </w:rPr>
              <w:t>Country</w:t>
            </w:r>
          </w:p>
        </w:tc>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512908D" w14:textId="77777777" w:rsidR="00756EEB" w:rsidRDefault="00000000">
            <w:pPr>
              <w:jc w:val="center"/>
            </w:pPr>
            <w:r>
              <w:rPr>
                <w:b/>
                <w:bCs/>
                <w:color w:val="FFFFFF"/>
                <w:sz w:val="19"/>
                <w:szCs w:val="19"/>
              </w:rPr>
              <w:t>Customers</w:t>
            </w:r>
          </w:p>
        </w:tc>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4406642" w14:textId="77777777" w:rsidR="00756EEB" w:rsidRDefault="00000000">
            <w:pPr>
              <w:jc w:val="center"/>
            </w:pPr>
            <w:r>
              <w:rPr>
                <w:b/>
                <w:bCs/>
                <w:color w:val="FFFFFF"/>
                <w:sz w:val="19"/>
                <w:szCs w:val="19"/>
              </w:rPr>
              <w:t>Churned</w:t>
            </w:r>
          </w:p>
        </w:tc>
        <w:tc>
          <w:tcPr>
            <w:tcW w:w="19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59FE7B1" w14:textId="77777777" w:rsidR="00756EEB" w:rsidRDefault="00000000">
            <w:pPr>
              <w:jc w:val="center"/>
            </w:pPr>
            <w:r>
              <w:rPr>
                <w:b/>
                <w:bCs/>
                <w:color w:val="FFFFFF"/>
                <w:sz w:val="19"/>
                <w:szCs w:val="19"/>
              </w:rPr>
              <w:t>Churn rate</w:t>
            </w:r>
          </w:p>
        </w:tc>
        <w:tc>
          <w:tcPr>
            <w:tcW w:w="188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3288327D" w14:textId="77777777" w:rsidR="00756EEB" w:rsidRDefault="00000000">
            <w:pPr>
              <w:jc w:val="center"/>
            </w:pPr>
            <w:r>
              <w:rPr>
                <w:b/>
                <w:bCs/>
                <w:color w:val="FFFFFF"/>
                <w:sz w:val="19"/>
                <w:szCs w:val="19"/>
              </w:rPr>
              <w:t>Risk index</w:t>
            </w:r>
          </w:p>
        </w:tc>
      </w:tr>
      <w:tr w:rsidR="00756EEB" w14:paraId="6D2937A8" w14:textId="77777777">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AF0A1D" w14:textId="77777777" w:rsidR="00756EEB" w:rsidRDefault="00000000">
            <w:r>
              <w:rPr>
                <w:sz w:val="19"/>
                <w:szCs w:val="19"/>
              </w:rPr>
              <w:t>France</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23C098" w14:textId="77777777" w:rsidR="00756EEB" w:rsidRDefault="00000000">
            <w:pPr>
              <w:jc w:val="center"/>
            </w:pPr>
            <w:r>
              <w:rPr>
                <w:sz w:val="19"/>
                <w:szCs w:val="19"/>
              </w:rPr>
              <w:t>5,014</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A05AB1" w14:textId="77777777" w:rsidR="00756EEB" w:rsidRDefault="00000000">
            <w:pPr>
              <w:jc w:val="center"/>
            </w:pPr>
            <w:r>
              <w:rPr>
                <w:sz w:val="19"/>
                <w:szCs w:val="19"/>
              </w:rPr>
              <w:t>810</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C3F91D" w14:textId="77777777" w:rsidR="00756EEB" w:rsidRDefault="00000000">
            <w:pPr>
              <w:jc w:val="center"/>
            </w:pPr>
            <w:r>
              <w:rPr>
                <w:sz w:val="19"/>
                <w:szCs w:val="19"/>
              </w:rPr>
              <w:t>16.15%</w:t>
            </w:r>
          </w:p>
        </w:tc>
        <w:tc>
          <w:tcPr>
            <w:tcW w:w="18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38ABF1" w14:textId="77777777" w:rsidR="00756EEB" w:rsidRDefault="00000000">
            <w:pPr>
              <w:jc w:val="center"/>
            </w:pPr>
            <w:r>
              <w:rPr>
                <w:sz w:val="19"/>
                <w:szCs w:val="19"/>
              </w:rPr>
              <w:t>0.79</w:t>
            </w:r>
          </w:p>
        </w:tc>
      </w:tr>
      <w:tr w:rsidR="00756EEB" w14:paraId="0E3D4B34" w14:textId="77777777">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61491294" w14:textId="77777777" w:rsidR="00756EEB" w:rsidRDefault="00000000">
            <w:r>
              <w:rPr>
                <w:sz w:val="19"/>
                <w:szCs w:val="19"/>
              </w:rPr>
              <w:t>Germany</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4B5A9CFE" w14:textId="77777777" w:rsidR="00756EEB" w:rsidRDefault="00000000">
            <w:pPr>
              <w:jc w:val="center"/>
            </w:pPr>
            <w:r>
              <w:rPr>
                <w:sz w:val="19"/>
                <w:szCs w:val="19"/>
              </w:rPr>
              <w:t>2,509</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6E45A552" w14:textId="77777777" w:rsidR="00756EEB" w:rsidRDefault="00000000">
            <w:pPr>
              <w:jc w:val="center"/>
            </w:pPr>
            <w:r>
              <w:rPr>
                <w:sz w:val="19"/>
                <w:szCs w:val="19"/>
              </w:rPr>
              <w:t>814</w:t>
            </w:r>
          </w:p>
        </w:tc>
        <w:tc>
          <w:tcPr>
            <w:tcW w:w="19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00E42DF5" w14:textId="77777777" w:rsidR="00756EEB" w:rsidRDefault="00000000">
            <w:pPr>
              <w:jc w:val="center"/>
            </w:pPr>
            <w:r>
              <w:rPr>
                <w:sz w:val="19"/>
                <w:szCs w:val="19"/>
              </w:rPr>
              <w:t>32.44%</w:t>
            </w:r>
          </w:p>
        </w:tc>
        <w:tc>
          <w:tcPr>
            <w:tcW w:w="1886"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4CC3CA86" w14:textId="77777777" w:rsidR="00756EEB" w:rsidRDefault="00000000">
            <w:pPr>
              <w:jc w:val="center"/>
            </w:pPr>
            <w:r>
              <w:rPr>
                <w:sz w:val="19"/>
                <w:szCs w:val="19"/>
              </w:rPr>
              <w:t>1.59</w:t>
            </w:r>
          </w:p>
        </w:tc>
      </w:tr>
      <w:tr w:rsidR="00756EEB" w14:paraId="54B1A6F4" w14:textId="77777777">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7AC4A2" w14:textId="77777777" w:rsidR="00756EEB" w:rsidRDefault="00000000">
            <w:r>
              <w:rPr>
                <w:sz w:val="19"/>
                <w:szCs w:val="19"/>
              </w:rPr>
              <w:t>Spain</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D66446" w14:textId="77777777" w:rsidR="00756EEB" w:rsidRDefault="00000000">
            <w:pPr>
              <w:jc w:val="center"/>
            </w:pPr>
            <w:r>
              <w:rPr>
                <w:sz w:val="19"/>
                <w:szCs w:val="19"/>
              </w:rPr>
              <w:t>2,477</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D1C113" w14:textId="77777777" w:rsidR="00756EEB" w:rsidRDefault="00000000">
            <w:pPr>
              <w:jc w:val="center"/>
            </w:pPr>
            <w:r>
              <w:rPr>
                <w:sz w:val="19"/>
                <w:szCs w:val="19"/>
              </w:rPr>
              <w:t>413</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E8C21A" w14:textId="77777777" w:rsidR="00756EEB" w:rsidRDefault="00000000">
            <w:pPr>
              <w:jc w:val="center"/>
            </w:pPr>
            <w:r>
              <w:rPr>
                <w:sz w:val="19"/>
                <w:szCs w:val="19"/>
              </w:rPr>
              <w:t>16.67%</w:t>
            </w:r>
          </w:p>
        </w:tc>
        <w:tc>
          <w:tcPr>
            <w:tcW w:w="18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6B553B" w14:textId="77777777" w:rsidR="00756EEB" w:rsidRDefault="00000000">
            <w:pPr>
              <w:jc w:val="center"/>
            </w:pPr>
            <w:r>
              <w:rPr>
                <w:sz w:val="19"/>
                <w:szCs w:val="19"/>
              </w:rPr>
              <w:t>0.82</w:t>
            </w:r>
          </w:p>
        </w:tc>
      </w:tr>
    </w:tbl>
    <w:p w14:paraId="3E5EB57C" w14:textId="77777777" w:rsidR="00756EEB" w:rsidRDefault="00000000">
      <w:pPr>
        <w:keepNext/>
        <w:spacing w:before="100" w:after="40"/>
        <w:jc w:val="center"/>
      </w:pPr>
      <w:r>
        <w:rPr>
          <w:noProof/>
        </w:rPr>
        <w:lastRenderedPageBreak/>
        <w:drawing>
          <wp:inline distT="0" distB="0" distL="0" distR="0" wp14:anchorId="1F1B068D" wp14:editId="6AD70D30">
            <wp:extent cx="3810000" cy="2266950"/>
            <wp:effectExtent l="0" t="0" r="0" b="0"/>
            <wp:docPr id="1" name="c_geo" descr="Figure 1: Churn rate by country" title="Figure 1: Churn rate by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266950"/>
                    </a:xfrm>
                    <a:prstGeom prst="rect">
                      <a:avLst/>
                    </a:prstGeom>
                  </pic:spPr>
                </pic:pic>
              </a:graphicData>
            </a:graphic>
          </wp:inline>
        </w:drawing>
      </w:r>
    </w:p>
    <w:p w14:paraId="52651D87" w14:textId="77777777" w:rsidR="00756EEB" w:rsidRDefault="00000000">
      <w:pPr>
        <w:spacing w:after="160"/>
        <w:jc w:val="center"/>
      </w:pPr>
      <w:r>
        <w:rPr>
          <w:i/>
          <w:iCs/>
          <w:color w:val="555555"/>
          <w:sz w:val="18"/>
          <w:szCs w:val="18"/>
        </w:rPr>
        <w:t>Figure 1: Churn rate by country</w:t>
      </w:r>
    </w:p>
    <w:p w14:paraId="0C2AA8D3" w14:textId="77777777" w:rsidR="00756EEB" w:rsidRDefault="00000000">
      <w:pPr>
        <w:spacing w:after="120" w:line="276" w:lineRule="auto"/>
      </w:pPr>
      <w:r>
        <w:t xml:space="preserve">Germany has only 25% of the customers but 40% of all churners, and its churn rate is almost double that of France and Spain. </w:t>
      </w:r>
      <w:r>
        <w:rPr>
          <w:b/>
          <w:bCs/>
        </w:rPr>
        <w:t>Germany is the single biggest regional risk.</w:t>
      </w:r>
      <w:r>
        <w:t xml:space="preserve"> France and Spain have similar, below-average churn. A further observation: no German customer has a zero balance, while about 48% of French and Spanish customers do, so Germany's customer base is made up entirely of balance-holding customers.</w:t>
      </w:r>
    </w:p>
    <w:p w14:paraId="5B9B65E4" w14:textId="77777777" w:rsidR="00756EEB" w:rsidRDefault="00000000">
      <w:pPr>
        <w:pStyle w:val="Heading2"/>
        <w:keepNext/>
      </w:pPr>
      <w:r>
        <w:rPr>
          <w:color w:val="1F3A5F"/>
        </w:rPr>
        <w:t>4.3 Age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900"/>
        <w:gridCol w:w="1886"/>
      </w:tblGrid>
      <w:tr w:rsidR="00756EEB" w14:paraId="66F78803" w14:textId="77777777">
        <w:tblPrEx>
          <w:tblCellMar>
            <w:top w:w="0" w:type="dxa"/>
            <w:bottom w:w="0" w:type="dxa"/>
          </w:tblCellMar>
        </w:tblPrEx>
        <w:trPr>
          <w:cantSplit/>
          <w:tblHeader/>
        </w:trPr>
        <w:tc>
          <w:tcPr>
            <w:tcW w:w="2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3A0C15A" w14:textId="77777777" w:rsidR="00756EEB" w:rsidRDefault="00000000">
            <w:r>
              <w:rPr>
                <w:b/>
                <w:bCs/>
                <w:color w:val="FFFFFF"/>
                <w:sz w:val="19"/>
                <w:szCs w:val="19"/>
              </w:rPr>
              <w:t>Age group</w:t>
            </w:r>
          </w:p>
        </w:tc>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9269E9D" w14:textId="77777777" w:rsidR="00756EEB" w:rsidRDefault="00000000">
            <w:pPr>
              <w:jc w:val="center"/>
            </w:pPr>
            <w:r>
              <w:rPr>
                <w:b/>
                <w:bCs/>
                <w:color w:val="FFFFFF"/>
                <w:sz w:val="19"/>
                <w:szCs w:val="19"/>
              </w:rPr>
              <w:t>Customers</w:t>
            </w:r>
          </w:p>
        </w:tc>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599FF63A" w14:textId="77777777" w:rsidR="00756EEB" w:rsidRDefault="00000000">
            <w:pPr>
              <w:jc w:val="center"/>
            </w:pPr>
            <w:r>
              <w:rPr>
                <w:b/>
                <w:bCs/>
                <w:color w:val="FFFFFF"/>
                <w:sz w:val="19"/>
                <w:szCs w:val="19"/>
              </w:rPr>
              <w:t>Churned</w:t>
            </w:r>
          </w:p>
        </w:tc>
        <w:tc>
          <w:tcPr>
            <w:tcW w:w="19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8B5FF63" w14:textId="77777777" w:rsidR="00756EEB" w:rsidRDefault="00000000">
            <w:pPr>
              <w:jc w:val="center"/>
            </w:pPr>
            <w:r>
              <w:rPr>
                <w:b/>
                <w:bCs/>
                <w:color w:val="FFFFFF"/>
                <w:sz w:val="19"/>
                <w:szCs w:val="19"/>
              </w:rPr>
              <w:t>Churn rate</w:t>
            </w:r>
          </w:p>
        </w:tc>
        <w:tc>
          <w:tcPr>
            <w:tcW w:w="188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9135D85" w14:textId="77777777" w:rsidR="00756EEB" w:rsidRDefault="00000000">
            <w:pPr>
              <w:jc w:val="center"/>
            </w:pPr>
            <w:r>
              <w:rPr>
                <w:b/>
                <w:bCs/>
                <w:color w:val="FFFFFF"/>
                <w:sz w:val="19"/>
                <w:szCs w:val="19"/>
              </w:rPr>
              <w:t>Share of churners</w:t>
            </w:r>
          </w:p>
        </w:tc>
      </w:tr>
      <w:tr w:rsidR="00756EEB" w14:paraId="5E61F616" w14:textId="77777777">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29CCFB" w14:textId="77777777" w:rsidR="00756EEB" w:rsidRDefault="00000000">
            <w:r>
              <w:rPr>
                <w:sz w:val="19"/>
                <w:szCs w:val="19"/>
              </w:rPr>
              <w:t>&lt;30</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A9969E" w14:textId="77777777" w:rsidR="00756EEB" w:rsidRDefault="00000000">
            <w:pPr>
              <w:jc w:val="center"/>
            </w:pPr>
            <w:r>
              <w:rPr>
                <w:sz w:val="19"/>
                <w:szCs w:val="19"/>
              </w:rPr>
              <w:t>1,641</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40418A5" w14:textId="77777777" w:rsidR="00756EEB" w:rsidRDefault="00000000">
            <w:pPr>
              <w:jc w:val="center"/>
            </w:pPr>
            <w:r>
              <w:rPr>
                <w:sz w:val="19"/>
                <w:szCs w:val="19"/>
              </w:rPr>
              <w:t>124</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32457D" w14:textId="77777777" w:rsidR="00756EEB" w:rsidRDefault="00000000">
            <w:pPr>
              <w:jc w:val="center"/>
            </w:pPr>
            <w:r>
              <w:rPr>
                <w:sz w:val="19"/>
                <w:szCs w:val="19"/>
              </w:rPr>
              <w:t>7.56%</w:t>
            </w:r>
          </w:p>
        </w:tc>
        <w:tc>
          <w:tcPr>
            <w:tcW w:w="18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A09431" w14:textId="77777777" w:rsidR="00756EEB" w:rsidRDefault="00000000">
            <w:pPr>
              <w:jc w:val="center"/>
            </w:pPr>
            <w:r>
              <w:rPr>
                <w:sz w:val="19"/>
                <w:szCs w:val="19"/>
              </w:rPr>
              <w:t>6.1%</w:t>
            </w:r>
          </w:p>
        </w:tc>
      </w:tr>
      <w:tr w:rsidR="00756EEB" w14:paraId="2EFBD622" w14:textId="77777777">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2AA579" w14:textId="77777777" w:rsidR="00756EEB" w:rsidRDefault="00000000">
            <w:r>
              <w:rPr>
                <w:sz w:val="19"/>
                <w:szCs w:val="19"/>
              </w:rPr>
              <w:t>30-45</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1AF9FC" w14:textId="77777777" w:rsidR="00756EEB" w:rsidRDefault="00000000">
            <w:pPr>
              <w:jc w:val="center"/>
            </w:pPr>
            <w:r>
              <w:rPr>
                <w:sz w:val="19"/>
                <w:szCs w:val="19"/>
              </w:rPr>
              <w:t>6,248</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F50918" w14:textId="77777777" w:rsidR="00756EEB" w:rsidRDefault="00000000">
            <w:pPr>
              <w:jc w:val="center"/>
            </w:pPr>
            <w:r>
              <w:rPr>
                <w:sz w:val="19"/>
                <w:szCs w:val="19"/>
              </w:rPr>
              <w:t>956</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6AC1AD" w14:textId="77777777" w:rsidR="00756EEB" w:rsidRDefault="00000000">
            <w:pPr>
              <w:jc w:val="center"/>
            </w:pPr>
            <w:r>
              <w:rPr>
                <w:sz w:val="19"/>
                <w:szCs w:val="19"/>
              </w:rPr>
              <w:t>15.30%</w:t>
            </w:r>
          </w:p>
        </w:tc>
        <w:tc>
          <w:tcPr>
            <w:tcW w:w="18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94C94F" w14:textId="77777777" w:rsidR="00756EEB" w:rsidRDefault="00000000">
            <w:pPr>
              <w:jc w:val="center"/>
            </w:pPr>
            <w:r>
              <w:rPr>
                <w:sz w:val="19"/>
                <w:szCs w:val="19"/>
              </w:rPr>
              <w:t>46.9%</w:t>
            </w:r>
          </w:p>
        </w:tc>
      </w:tr>
      <w:tr w:rsidR="00756EEB" w14:paraId="32DC65FD" w14:textId="77777777">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0E52A88D" w14:textId="77777777" w:rsidR="00756EEB" w:rsidRDefault="00000000">
            <w:r>
              <w:rPr>
                <w:sz w:val="19"/>
                <w:szCs w:val="19"/>
              </w:rPr>
              <w:t>46-60</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1418E6AB" w14:textId="77777777" w:rsidR="00756EEB" w:rsidRDefault="00000000">
            <w:pPr>
              <w:jc w:val="center"/>
            </w:pPr>
            <w:r>
              <w:rPr>
                <w:sz w:val="19"/>
                <w:szCs w:val="19"/>
              </w:rPr>
              <w:t>1,647</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1A55DF80" w14:textId="77777777" w:rsidR="00756EEB" w:rsidRDefault="00000000">
            <w:pPr>
              <w:jc w:val="center"/>
            </w:pPr>
            <w:r>
              <w:rPr>
                <w:sz w:val="19"/>
                <w:szCs w:val="19"/>
              </w:rPr>
              <w:t>842</w:t>
            </w:r>
          </w:p>
        </w:tc>
        <w:tc>
          <w:tcPr>
            <w:tcW w:w="19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6B6BFFDF" w14:textId="77777777" w:rsidR="00756EEB" w:rsidRDefault="00000000">
            <w:pPr>
              <w:jc w:val="center"/>
            </w:pPr>
            <w:r>
              <w:rPr>
                <w:sz w:val="19"/>
                <w:szCs w:val="19"/>
              </w:rPr>
              <w:t>51.12%</w:t>
            </w:r>
          </w:p>
        </w:tc>
        <w:tc>
          <w:tcPr>
            <w:tcW w:w="1886"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29440E11" w14:textId="77777777" w:rsidR="00756EEB" w:rsidRDefault="00000000">
            <w:pPr>
              <w:jc w:val="center"/>
            </w:pPr>
            <w:r>
              <w:rPr>
                <w:sz w:val="19"/>
                <w:szCs w:val="19"/>
              </w:rPr>
              <w:t>41.3%</w:t>
            </w:r>
          </w:p>
        </w:tc>
      </w:tr>
      <w:tr w:rsidR="00756EEB" w14:paraId="0FD02F87" w14:textId="77777777">
        <w:tblPrEx>
          <w:tblCellMar>
            <w:top w:w="0" w:type="dxa"/>
            <w:bottom w:w="0" w:type="dxa"/>
          </w:tblCellMar>
        </w:tblPrEx>
        <w:trPr>
          <w:cantSplit/>
        </w:trPr>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415D25" w14:textId="77777777" w:rsidR="00756EEB" w:rsidRDefault="00000000">
            <w:r>
              <w:rPr>
                <w:sz w:val="19"/>
                <w:szCs w:val="19"/>
              </w:rPr>
              <w:t>60+</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9F442A" w14:textId="77777777" w:rsidR="00756EEB" w:rsidRDefault="00000000">
            <w:pPr>
              <w:jc w:val="center"/>
            </w:pPr>
            <w:r>
              <w:rPr>
                <w:sz w:val="19"/>
                <w:szCs w:val="19"/>
              </w:rPr>
              <w:t>464</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06AC11" w14:textId="77777777" w:rsidR="00756EEB" w:rsidRDefault="00000000">
            <w:pPr>
              <w:jc w:val="center"/>
            </w:pPr>
            <w:r>
              <w:rPr>
                <w:sz w:val="19"/>
                <w:szCs w:val="19"/>
              </w:rPr>
              <w:t>115</w:t>
            </w:r>
          </w:p>
        </w:tc>
        <w:tc>
          <w:tcPr>
            <w:tcW w:w="1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03D37C" w14:textId="77777777" w:rsidR="00756EEB" w:rsidRDefault="00000000">
            <w:pPr>
              <w:jc w:val="center"/>
            </w:pPr>
            <w:r>
              <w:rPr>
                <w:sz w:val="19"/>
                <w:szCs w:val="19"/>
              </w:rPr>
              <w:t>24.78%</w:t>
            </w:r>
          </w:p>
        </w:tc>
        <w:tc>
          <w:tcPr>
            <w:tcW w:w="18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D4F539" w14:textId="77777777" w:rsidR="00756EEB" w:rsidRDefault="00000000">
            <w:pPr>
              <w:jc w:val="center"/>
            </w:pPr>
            <w:r>
              <w:rPr>
                <w:sz w:val="19"/>
                <w:szCs w:val="19"/>
              </w:rPr>
              <w:t>5.7%</w:t>
            </w:r>
          </w:p>
        </w:tc>
      </w:tr>
    </w:tbl>
    <w:p w14:paraId="40BBFAC7" w14:textId="77777777" w:rsidR="00756EEB" w:rsidRDefault="00000000">
      <w:pPr>
        <w:keepNext/>
        <w:spacing w:before="100" w:after="40"/>
        <w:jc w:val="center"/>
      </w:pPr>
      <w:r>
        <w:rPr>
          <w:noProof/>
        </w:rPr>
        <w:drawing>
          <wp:inline distT="0" distB="0" distL="0" distR="0" wp14:anchorId="5721CC98" wp14:editId="46B2BB42">
            <wp:extent cx="3810000" cy="2266950"/>
            <wp:effectExtent l="0" t="0" r="0" b="0"/>
            <wp:docPr id="797009683" name="c_age" descr="Figure 2: Churn rate by age group" title="Figure 2: Churn rate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266950"/>
                    </a:xfrm>
                    <a:prstGeom prst="rect">
                      <a:avLst/>
                    </a:prstGeom>
                  </pic:spPr>
                </pic:pic>
              </a:graphicData>
            </a:graphic>
          </wp:inline>
        </w:drawing>
      </w:r>
    </w:p>
    <w:p w14:paraId="069068A2" w14:textId="77777777" w:rsidR="00756EEB" w:rsidRDefault="00000000">
      <w:pPr>
        <w:spacing w:after="160"/>
        <w:jc w:val="center"/>
      </w:pPr>
      <w:r>
        <w:rPr>
          <w:i/>
          <w:iCs/>
          <w:color w:val="555555"/>
          <w:sz w:val="18"/>
          <w:szCs w:val="18"/>
        </w:rPr>
        <w:t>Figure 2: Churn rate by age group</w:t>
      </w:r>
    </w:p>
    <w:p w14:paraId="6D0AB523" w14:textId="77777777" w:rsidR="00756EEB" w:rsidRDefault="00000000">
      <w:pPr>
        <w:spacing w:after="120" w:line="276" w:lineRule="auto"/>
      </w:pPr>
      <w:r>
        <w:t xml:space="preserve">Age is the strongest single driver of churn. </w:t>
      </w:r>
      <w:r>
        <w:rPr>
          <w:b/>
          <w:bCs/>
        </w:rPr>
        <w:t>More than half of customers aged 46-60 leave</w:t>
      </w:r>
      <w:r>
        <w:t>, and this group is only 16.5% of customers yet 41.3% of churners. The average churned customer is 44.8 years old, against 37.4 for retained customers. Young customers (&lt;30) are the most loyal.</w:t>
      </w:r>
    </w:p>
    <w:p w14:paraId="4ED3F8F3" w14:textId="77777777" w:rsidR="00756EEB" w:rsidRDefault="00000000">
      <w:pPr>
        <w:pStyle w:val="Heading2"/>
        <w:keepNext/>
      </w:pPr>
      <w:r>
        <w:rPr>
          <w:color w:val="1F3A5F"/>
        </w:rPr>
        <w:lastRenderedPageBreak/>
        <w:t>4.4 Gender</w:t>
      </w:r>
    </w:p>
    <w:p w14:paraId="35025839" w14:textId="77777777" w:rsidR="00756EEB" w:rsidRDefault="00000000">
      <w:pPr>
        <w:keepNext/>
        <w:spacing w:before="100" w:after="40"/>
        <w:jc w:val="center"/>
      </w:pPr>
      <w:r>
        <w:rPr>
          <w:noProof/>
        </w:rPr>
        <w:drawing>
          <wp:inline distT="0" distB="0" distL="0" distR="0" wp14:anchorId="51C6BD39" wp14:editId="50562346">
            <wp:extent cx="3429000" cy="2038350"/>
            <wp:effectExtent l="0" t="0" r="0" b="0"/>
            <wp:docPr id="1866055603" name="c_gender" descr="Figure 3: Churn rate by gender" title="Figure 3: Churn rate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038350"/>
                    </a:xfrm>
                    <a:prstGeom prst="rect">
                      <a:avLst/>
                    </a:prstGeom>
                  </pic:spPr>
                </pic:pic>
              </a:graphicData>
            </a:graphic>
          </wp:inline>
        </w:drawing>
      </w:r>
    </w:p>
    <w:p w14:paraId="35FF434C" w14:textId="77777777" w:rsidR="00756EEB" w:rsidRDefault="00000000">
      <w:pPr>
        <w:spacing w:after="160"/>
        <w:jc w:val="center"/>
      </w:pPr>
      <w:r>
        <w:rPr>
          <w:i/>
          <w:iCs/>
          <w:color w:val="555555"/>
          <w:sz w:val="18"/>
          <w:szCs w:val="18"/>
        </w:rPr>
        <w:t>Figure 3: Churn rate by gender</w:t>
      </w:r>
    </w:p>
    <w:p w14:paraId="1CC5841E" w14:textId="77777777" w:rsidR="00756EEB" w:rsidRDefault="00000000">
      <w:pPr>
        <w:spacing w:after="120" w:line="276" w:lineRule="auto"/>
      </w:pPr>
      <w:r>
        <w:t>Women churn at 25.07% against 16.46% for men (risk indexes 1.23 and 0.81). Women make up 45% of customers but 56% of churners. The gap appears in every country: France 20.3% vs 12.7%, Germany 37.6% vs 27.8%, Spain 21.2% vs 13.1%.</w:t>
      </w:r>
    </w:p>
    <w:p w14:paraId="606A2DA4" w14:textId="77777777" w:rsidR="00756EEB" w:rsidRDefault="00000000">
      <w:pPr>
        <w:pStyle w:val="Heading2"/>
        <w:keepNext/>
      </w:pPr>
      <w:r>
        <w:rPr>
          <w:color w:val="1F3A5F"/>
        </w:rPr>
        <w:t>4.5 Geography and age together</w:t>
      </w:r>
    </w:p>
    <w:p w14:paraId="6465D600" w14:textId="77777777" w:rsidR="00756EEB" w:rsidRDefault="00000000">
      <w:pPr>
        <w:keepNext/>
        <w:spacing w:before="100" w:after="40"/>
        <w:jc w:val="center"/>
      </w:pPr>
      <w:r>
        <w:rPr>
          <w:noProof/>
        </w:rPr>
        <w:drawing>
          <wp:inline distT="0" distB="0" distL="0" distR="0" wp14:anchorId="13942008" wp14:editId="349D8017">
            <wp:extent cx="4000500" cy="2124075"/>
            <wp:effectExtent l="0" t="0" r="0" b="0"/>
            <wp:docPr id="1083098565" name="c_heat" descr="Figure 4: Churn % by geography and age group" title="Figure 4: Churn % by geography and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124075"/>
                    </a:xfrm>
                    <a:prstGeom prst="rect">
                      <a:avLst/>
                    </a:prstGeom>
                  </pic:spPr>
                </pic:pic>
              </a:graphicData>
            </a:graphic>
          </wp:inline>
        </w:drawing>
      </w:r>
    </w:p>
    <w:p w14:paraId="31CFADA5" w14:textId="77777777" w:rsidR="00756EEB" w:rsidRDefault="00000000">
      <w:pPr>
        <w:spacing w:after="160"/>
        <w:jc w:val="center"/>
      </w:pPr>
      <w:r>
        <w:rPr>
          <w:i/>
          <w:iCs/>
          <w:color w:val="555555"/>
          <w:sz w:val="18"/>
          <w:szCs w:val="18"/>
        </w:rPr>
        <w:t>Figure 4: Churn % by geography and age group</w:t>
      </w:r>
    </w:p>
    <w:p w14:paraId="07455F26" w14:textId="77777777" w:rsidR="00756EEB" w:rsidRDefault="00000000">
      <w:pPr>
        <w:spacing w:after="120" w:line="276" w:lineRule="auto"/>
      </w:pPr>
      <w:r>
        <w:t xml:space="preserve">Combining the two factors shows where the risk is extreme: </w:t>
      </w:r>
      <w:r>
        <w:rPr>
          <w:b/>
          <w:bCs/>
        </w:rPr>
        <w:t>67.3% of German customers aged 46-60 leave</w:t>
      </w:r>
      <w:r>
        <w:t xml:space="preserve">. Even the 60+ group in Germany churns at 38.9%. In France and </w:t>
      </w:r>
      <w:proofErr w:type="gramStart"/>
      <w:r>
        <w:t>Spain</w:t>
      </w:r>
      <w:proofErr w:type="gramEnd"/>
      <w:r>
        <w:t xml:space="preserve"> the 46-60 group churns at 45.8% and 40.7%. Age risk is present everywhere but is amplified in Germany.</w:t>
      </w:r>
    </w:p>
    <w:p w14:paraId="0B5FDDDE" w14:textId="77777777" w:rsidR="00756EEB" w:rsidRDefault="00000000">
      <w:pPr>
        <w:pStyle w:val="Heading2"/>
        <w:keepNext/>
      </w:pPr>
      <w:r>
        <w:rPr>
          <w:color w:val="1F3A5F"/>
        </w:rPr>
        <w:t>4.6 Financial profile: credit score, tenure, balance and salary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gridCol w:w="1686"/>
      </w:tblGrid>
      <w:tr w:rsidR="00756EEB" w14:paraId="74A78236" w14:textId="77777777">
        <w:tblPrEx>
          <w:tblCellMar>
            <w:top w:w="0" w:type="dxa"/>
            <w:bottom w:w="0" w:type="dxa"/>
          </w:tblCellMar>
        </w:tblPrEx>
        <w:trPr>
          <w:cantSplit/>
          <w:tblHeader/>
        </w:trPr>
        <w:tc>
          <w:tcPr>
            <w:tcW w:w="26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7CF55CD" w14:textId="77777777" w:rsidR="00756EEB" w:rsidRDefault="00000000">
            <w:r>
              <w:rPr>
                <w:b/>
                <w:bCs/>
                <w:color w:val="FFFFFF"/>
                <w:sz w:val="19"/>
                <w:szCs w:val="19"/>
              </w:rPr>
              <w:t>Segment</w:t>
            </w:r>
          </w:p>
        </w:tc>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81B969A" w14:textId="77777777" w:rsidR="00756EEB" w:rsidRDefault="00000000">
            <w:pPr>
              <w:jc w:val="center"/>
            </w:pPr>
            <w:r>
              <w:rPr>
                <w:b/>
                <w:bCs/>
                <w:color w:val="FFFFFF"/>
                <w:sz w:val="19"/>
                <w:szCs w:val="19"/>
              </w:rPr>
              <w:t>Low / New / Zero</w:t>
            </w:r>
          </w:p>
        </w:tc>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56D78FA" w14:textId="77777777" w:rsidR="00756EEB" w:rsidRDefault="00000000">
            <w:pPr>
              <w:jc w:val="center"/>
            </w:pPr>
            <w:r>
              <w:rPr>
                <w:b/>
                <w:bCs/>
                <w:color w:val="FFFFFF"/>
                <w:sz w:val="19"/>
                <w:szCs w:val="19"/>
              </w:rPr>
              <w:t>Medium / Mid</w:t>
            </w:r>
          </w:p>
        </w:tc>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53C6B8EE" w14:textId="77777777" w:rsidR="00756EEB" w:rsidRDefault="00000000">
            <w:pPr>
              <w:jc w:val="center"/>
            </w:pPr>
            <w:r>
              <w:rPr>
                <w:b/>
                <w:bCs/>
                <w:color w:val="FFFFFF"/>
                <w:sz w:val="19"/>
                <w:szCs w:val="19"/>
              </w:rPr>
              <w:t>High / Long</w:t>
            </w:r>
          </w:p>
        </w:tc>
        <w:tc>
          <w:tcPr>
            <w:tcW w:w="168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9B15F73" w14:textId="77777777" w:rsidR="00756EEB" w:rsidRDefault="00000000">
            <w:pPr>
              <w:jc w:val="center"/>
            </w:pPr>
            <w:r>
              <w:rPr>
                <w:b/>
                <w:bCs/>
                <w:color w:val="FFFFFF"/>
                <w:sz w:val="19"/>
                <w:szCs w:val="19"/>
              </w:rPr>
              <w:t>Spread</w:t>
            </w:r>
          </w:p>
        </w:tc>
      </w:tr>
      <w:tr w:rsidR="00756EEB" w14:paraId="33ABB8DD"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3B3DBD" w14:textId="77777777" w:rsidR="00756EEB" w:rsidRDefault="00000000">
            <w:r>
              <w:rPr>
                <w:sz w:val="19"/>
                <w:szCs w:val="19"/>
              </w:rPr>
              <w:t>Credit band</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BC59B2" w14:textId="77777777" w:rsidR="00756EEB" w:rsidRDefault="00000000">
            <w:pPr>
              <w:jc w:val="center"/>
            </w:pPr>
            <w:r>
              <w:rPr>
                <w:sz w:val="19"/>
                <w:szCs w:val="19"/>
              </w:rPr>
              <w:t>22.0%</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C9D9ED" w14:textId="77777777" w:rsidR="00756EEB" w:rsidRDefault="00000000">
            <w:pPr>
              <w:jc w:val="center"/>
            </w:pPr>
            <w:r>
              <w:rPr>
                <w:sz w:val="19"/>
                <w:szCs w:val="19"/>
              </w:rPr>
              <w:t>20.6%</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BA5841" w14:textId="77777777" w:rsidR="00756EEB" w:rsidRDefault="00000000">
            <w:pPr>
              <w:jc w:val="center"/>
            </w:pPr>
            <w:r>
              <w:rPr>
                <w:sz w:val="19"/>
                <w:szCs w:val="19"/>
              </w:rPr>
              <w:t>19.3%</w:t>
            </w:r>
          </w:p>
        </w:tc>
        <w:tc>
          <w:tcPr>
            <w:tcW w:w="16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D87275" w14:textId="77777777" w:rsidR="00756EEB" w:rsidRDefault="00000000">
            <w:pPr>
              <w:jc w:val="center"/>
            </w:pPr>
            <w:r>
              <w:rPr>
                <w:sz w:val="19"/>
                <w:szCs w:val="19"/>
              </w:rPr>
              <w:t>2.7 pts</w:t>
            </w:r>
          </w:p>
        </w:tc>
      </w:tr>
      <w:tr w:rsidR="00756EEB" w14:paraId="164654AF"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DFBF44" w14:textId="77777777" w:rsidR="00756EEB" w:rsidRDefault="00000000">
            <w:r>
              <w:rPr>
                <w:sz w:val="19"/>
                <w:szCs w:val="19"/>
              </w:rPr>
              <w:t>Tenure group</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B96A65" w14:textId="77777777" w:rsidR="00756EEB" w:rsidRDefault="00000000">
            <w:pPr>
              <w:jc w:val="center"/>
            </w:pPr>
            <w:r>
              <w:rPr>
                <w:sz w:val="19"/>
                <w:szCs w:val="19"/>
              </w:rPr>
              <w:t>21.2%</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33849A" w14:textId="77777777" w:rsidR="00756EEB" w:rsidRDefault="00000000">
            <w:pPr>
              <w:jc w:val="center"/>
            </w:pPr>
            <w:r>
              <w:rPr>
                <w:sz w:val="19"/>
                <w:szCs w:val="19"/>
              </w:rPr>
              <w:t>20.6%</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72CE9B" w14:textId="77777777" w:rsidR="00756EEB" w:rsidRDefault="00000000">
            <w:pPr>
              <w:jc w:val="center"/>
            </w:pPr>
            <w:r>
              <w:rPr>
                <w:sz w:val="19"/>
                <w:szCs w:val="19"/>
              </w:rPr>
              <w:t>19.5%</w:t>
            </w:r>
          </w:p>
        </w:tc>
        <w:tc>
          <w:tcPr>
            <w:tcW w:w="16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6CCECD" w14:textId="77777777" w:rsidR="00756EEB" w:rsidRDefault="00000000">
            <w:pPr>
              <w:jc w:val="center"/>
            </w:pPr>
            <w:r>
              <w:rPr>
                <w:sz w:val="19"/>
                <w:szCs w:val="19"/>
              </w:rPr>
              <w:t>1.6 pts</w:t>
            </w:r>
          </w:p>
        </w:tc>
      </w:tr>
      <w:tr w:rsidR="00756EEB" w14:paraId="07C78F98" w14:textId="77777777">
        <w:tblPrEx>
          <w:tblCellMar>
            <w:top w:w="0" w:type="dxa"/>
            <w:bottom w:w="0" w:type="dxa"/>
          </w:tblCellMar>
        </w:tblPrEx>
        <w:trPr>
          <w:cantSplit/>
        </w:trPr>
        <w:tc>
          <w:tcPr>
            <w:tcW w:w="2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2B789F" w14:textId="77777777" w:rsidR="00756EEB" w:rsidRDefault="00000000">
            <w:r>
              <w:rPr>
                <w:sz w:val="19"/>
                <w:szCs w:val="19"/>
              </w:rPr>
              <w:t>Salary quartile (Q1 to Q4)</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BF2455" w14:textId="77777777" w:rsidR="00756EEB" w:rsidRDefault="00000000">
            <w:pPr>
              <w:jc w:val="center"/>
            </w:pPr>
            <w:r>
              <w:rPr>
                <w:sz w:val="19"/>
                <w:szCs w:val="19"/>
              </w:rPr>
              <w:t>20.0%</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E1B00A" w14:textId="77777777" w:rsidR="00756EEB" w:rsidRDefault="00000000">
            <w:pPr>
              <w:jc w:val="center"/>
            </w:pPr>
            <w:r>
              <w:rPr>
                <w:sz w:val="19"/>
                <w:szCs w:val="19"/>
              </w:rPr>
              <w:t>19.8% / 20.1%</w:t>
            </w:r>
          </w:p>
        </w:tc>
        <w:tc>
          <w:tcPr>
            <w:tcW w:w="17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2B3D56" w14:textId="77777777" w:rsidR="00756EEB" w:rsidRDefault="00000000">
            <w:pPr>
              <w:jc w:val="center"/>
            </w:pPr>
            <w:r>
              <w:rPr>
                <w:sz w:val="19"/>
                <w:szCs w:val="19"/>
              </w:rPr>
              <w:t>21.6%</w:t>
            </w:r>
          </w:p>
        </w:tc>
        <w:tc>
          <w:tcPr>
            <w:tcW w:w="16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DCCD94" w14:textId="77777777" w:rsidR="00756EEB" w:rsidRDefault="00000000">
            <w:pPr>
              <w:jc w:val="center"/>
            </w:pPr>
            <w:r>
              <w:rPr>
                <w:sz w:val="19"/>
                <w:szCs w:val="19"/>
              </w:rPr>
              <w:t>1.8 pts</w:t>
            </w:r>
          </w:p>
        </w:tc>
      </w:tr>
    </w:tbl>
    <w:p w14:paraId="0DDC721E" w14:textId="77777777" w:rsidR="00756EEB" w:rsidRDefault="00756EEB">
      <w:pPr>
        <w:spacing w:after="120"/>
      </w:pPr>
    </w:p>
    <w:p w14:paraId="5D12AFB4" w14:textId="77777777" w:rsidR="00756EEB" w:rsidRDefault="00000000">
      <w:pPr>
        <w:spacing w:after="120" w:line="276" w:lineRule="auto"/>
      </w:pPr>
      <w:r>
        <w:t>Credit score, tenure and salary show only small differences in churn (a few percentage points). Low-credit and new customers are slightly more likely to leave, but these are weak signals compared with age, country and engagement. In other words, a customer's financial stability and loyalty period do not explain who leaves.</w:t>
      </w:r>
    </w:p>
    <w:p w14:paraId="30EB7F2F" w14:textId="77777777" w:rsidR="00756EEB" w:rsidRDefault="00000000">
      <w:pPr>
        <w:keepNext/>
        <w:spacing w:before="100" w:after="40"/>
        <w:jc w:val="center"/>
      </w:pPr>
      <w:r>
        <w:rPr>
          <w:noProof/>
        </w:rPr>
        <w:lastRenderedPageBreak/>
        <w:drawing>
          <wp:inline distT="0" distB="0" distL="0" distR="0" wp14:anchorId="1947BA24" wp14:editId="6FBCAB00">
            <wp:extent cx="3810000" cy="2266950"/>
            <wp:effectExtent l="0" t="0" r="0" b="0"/>
            <wp:docPr id="98243102" name="c_balance" descr="Figure 5: Churn rate by balance segment" title="Figure 5: Churn rate by balanc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266950"/>
                    </a:xfrm>
                    <a:prstGeom prst="rect">
                      <a:avLst/>
                    </a:prstGeom>
                  </pic:spPr>
                </pic:pic>
              </a:graphicData>
            </a:graphic>
          </wp:inline>
        </w:drawing>
      </w:r>
    </w:p>
    <w:p w14:paraId="557AEC0A" w14:textId="77777777" w:rsidR="00756EEB" w:rsidRDefault="00000000">
      <w:pPr>
        <w:spacing w:after="160"/>
        <w:jc w:val="center"/>
      </w:pPr>
      <w:r>
        <w:rPr>
          <w:i/>
          <w:iCs/>
          <w:color w:val="555555"/>
          <w:sz w:val="18"/>
          <w:szCs w:val="18"/>
        </w:rPr>
        <w:t>Figure 5: Churn rate by balance segment</w:t>
      </w:r>
    </w:p>
    <w:p w14:paraId="67BE1DC9" w14:textId="77777777" w:rsidR="00756EEB" w:rsidRDefault="00000000">
      <w:pPr>
        <w:spacing w:after="120" w:line="276" w:lineRule="auto"/>
      </w:pPr>
      <w:r>
        <w:t>Balance is different. Zero-balance customers churn at 13.8%, while customers who hold a balance churn at about 24% (low-balance 24.0%, high-balance 24.2%). The bank is losing customers who actually keep money with it.</w:t>
      </w:r>
    </w:p>
    <w:p w14:paraId="0389A647" w14:textId="77777777" w:rsidR="00756EEB" w:rsidRDefault="00000000">
      <w:pPr>
        <w:pStyle w:val="Heading2"/>
        <w:keepNext/>
      </w:pPr>
      <w:r>
        <w:rPr>
          <w:color w:val="1F3A5F"/>
        </w:rPr>
        <w:t>4.7 Engagement and number of products</w:t>
      </w:r>
    </w:p>
    <w:p w14:paraId="52BCA7BE" w14:textId="77777777" w:rsidR="00756EEB" w:rsidRDefault="00000000">
      <w:pPr>
        <w:keepNext/>
        <w:spacing w:before="100" w:after="40"/>
        <w:jc w:val="center"/>
      </w:pPr>
      <w:r>
        <w:rPr>
          <w:noProof/>
        </w:rPr>
        <w:drawing>
          <wp:inline distT="0" distB="0" distL="0" distR="0" wp14:anchorId="33F91A7C" wp14:editId="7679C7B5">
            <wp:extent cx="3619500" cy="2152650"/>
            <wp:effectExtent l="0" t="0" r="0" b="0"/>
            <wp:docPr id="994185087" name="c_active" descr="Figure 6: Churn rate, inactive vs active members" title="Figure 6: Churn rate, inactive vs active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152650"/>
                    </a:xfrm>
                    <a:prstGeom prst="rect">
                      <a:avLst/>
                    </a:prstGeom>
                  </pic:spPr>
                </pic:pic>
              </a:graphicData>
            </a:graphic>
          </wp:inline>
        </w:drawing>
      </w:r>
    </w:p>
    <w:p w14:paraId="2A7BF579" w14:textId="77777777" w:rsidR="00756EEB" w:rsidRDefault="00000000">
      <w:pPr>
        <w:spacing w:after="160"/>
        <w:jc w:val="center"/>
      </w:pPr>
      <w:r>
        <w:rPr>
          <w:i/>
          <w:iCs/>
          <w:color w:val="555555"/>
          <w:sz w:val="18"/>
          <w:szCs w:val="18"/>
        </w:rPr>
        <w:t>Figure 6: Churn rate, inactive vs active members</w:t>
      </w:r>
    </w:p>
    <w:p w14:paraId="7084E770" w14:textId="77777777" w:rsidR="00756EEB" w:rsidRDefault="00000000">
      <w:pPr>
        <w:spacing w:after="120" w:line="276" w:lineRule="auto"/>
      </w:pPr>
      <w:r>
        <w:t xml:space="preserve">Inactive members churn at 26.85% and active members at 14.27%, a ratio of </w:t>
      </w:r>
      <w:r>
        <w:rPr>
          <w:b/>
          <w:bCs/>
        </w:rPr>
        <w:t>1.88x</w:t>
      </w:r>
      <w:r>
        <w:t xml:space="preserve"> (the Engagement Drop Indicator). Inactive members are 48.5% of customers but 63.9% of churners. The pattern holds in every country (for example Germany: 41.1% inactive vs 23.7% active). Inactivity is a clear early warning sign.</w:t>
      </w:r>
    </w:p>
    <w:p w14:paraId="35AFB4A4" w14:textId="77777777" w:rsidR="00756EEB" w:rsidRDefault="00000000">
      <w:pPr>
        <w:keepNext/>
        <w:spacing w:before="100" w:after="40"/>
        <w:jc w:val="center"/>
      </w:pPr>
      <w:r>
        <w:rPr>
          <w:noProof/>
        </w:rPr>
        <w:lastRenderedPageBreak/>
        <w:drawing>
          <wp:inline distT="0" distB="0" distL="0" distR="0" wp14:anchorId="38EF6197" wp14:editId="527FBAFE">
            <wp:extent cx="4000500" cy="2371725"/>
            <wp:effectExtent l="0" t="0" r="0" b="0"/>
            <wp:docPr id="337022161" name="c_products" descr="Figure 7: Churn rate by number of products" title="Figure 7: Churn rate by number of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371725"/>
                    </a:xfrm>
                    <a:prstGeom prst="rect">
                      <a:avLst/>
                    </a:prstGeom>
                  </pic:spPr>
                </pic:pic>
              </a:graphicData>
            </a:graphic>
          </wp:inline>
        </w:drawing>
      </w:r>
    </w:p>
    <w:p w14:paraId="30B1C248" w14:textId="77777777" w:rsidR="00756EEB" w:rsidRDefault="00000000">
      <w:pPr>
        <w:spacing w:after="160"/>
        <w:jc w:val="center"/>
      </w:pPr>
      <w:r>
        <w:rPr>
          <w:i/>
          <w:iCs/>
          <w:color w:val="555555"/>
          <w:sz w:val="18"/>
          <w:szCs w:val="18"/>
        </w:rPr>
        <w:t>Figure 7: Churn rate by number of products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86"/>
      </w:tblGrid>
      <w:tr w:rsidR="00756EEB" w14:paraId="598ECC7E" w14:textId="77777777">
        <w:tblPrEx>
          <w:tblCellMar>
            <w:top w:w="0" w:type="dxa"/>
            <w:bottom w:w="0" w:type="dxa"/>
          </w:tblCellMar>
        </w:tblPrEx>
        <w:trPr>
          <w:cantSplit/>
          <w:tblHeader/>
        </w:trPr>
        <w:tc>
          <w:tcPr>
            <w:tcW w:w="22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E7721AB" w14:textId="77777777" w:rsidR="00756EEB" w:rsidRDefault="00000000">
            <w:r>
              <w:rPr>
                <w:b/>
                <w:bCs/>
                <w:color w:val="FFFFFF"/>
                <w:sz w:val="19"/>
                <w:szCs w:val="19"/>
              </w:rPr>
              <w:t>Products</w:t>
            </w:r>
          </w:p>
        </w:tc>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B536AF9" w14:textId="77777777" w:rsidR="00756EEB" w:rsidRDefault="00000000">
            <w:pPr>
              <w:jc w:val="center"/>
            </w:pPr>
            <w:r>
              <w:rPr>
                <w:b/>
                <w:bCs/>
                <w:color w:val="FFFFFF"/>
                <w:sz w:val="19"/>
                <w:szCs w:val="19"/>
              </w:rPr>
              <w:t>Customers</w:t>
            </w:r>
          </w:p>
        </w:tc>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3A3BA1BB" w14:textId="77777777" w:rsidR="00756EEB" w:rsidRDefault="00000000">
            <w:pPr>
              <w:jc w:val="center"/>
            </w:pPr>
            <w:r>
              <w:rPr>
                <w:b/>
                <w:bCs/>
                <w:color w:val="FFFFFF"/>
                <w:sz w:val="19"/>
                <w:szCs w:val="19"/>
              </w:rPr>
              <w:t>Churned</w:t>
            </w:r>
          </w:p>
        </w:tc>
        <w:tc>
          <w:tcPr>
            <w:tcW w:w="18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1CB86385" w14:textId="77777777" w:rsidR="00756EEB" w:rsidRDefault="00000000">
            <w:pPr>
              <w:jc w:val="center"/>
            </w:pPr>
            <w:r>
              <w:rPr>
                <w:b/>
                <w:bCs/>
                <w:color w:val="FFFFFF"/>
                <w:sz w:val="19"/>
                <w:szCs w:val="19"/>
              </w:rPr>
              <w:t>Churn rate</w:t>
            </w:r>
          </w:p>
        </w:tc>
        <w:tc>
          <w:tcPr>
            <w:tcW w:w="178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8CE9DF6" w14:textId="77777777" w:rsidR="00756EEB" w:rsidRDefault="00000000">
            <w:pPr>
              <w:jc w:val="center"/>
            </w:pPr>
            <w:r>
              <w:rPr>
                <w:b/>
                <w:bCs/>
                <w:color w:val="FFFFFF"/>
                <w:sz w:val="19"/>
                <w:szCs w:val="19"/>
              </w:rPr>
              <w:t>Share of churners</w:t>
            </w:r>
          </w:p>
        </w:tc>
      </w:tr>
      <w:tr w:rsidR="00756EEB" w14:paraId="57C2F6C0"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47EDB7" w14:textId="77777777" w:rsidR="00756EEB" w:rsidRDefault="00000000">
            <w:r>
              <w:rPr>
                <w:sz w:val="19"/>
                <w:szCs w:val="19"/>
              </w:rPr>
              <w:t>1</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776D8F" w14:textId="77777777" w:rsidR="00756EEB" w:rsidRDefault="00000000">
            <w:pPr>
              <w:jc w:val="center"/>
            </w:pPr>
            <w:r>
              <w:rPr>
                <w:sz w:val="19"/>
                <w:szCs w:val="19"/>
              </w:rPr>
              <w:t>5,084</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B2C5E4" w14:textId="77777777" w:rsidR="00756EEB" w:rsidRDefault="00000000">
            <w:pPr>
              <w:jc w:val="center"/>
            </w:pPr>
            <w:r>
              <w:rPr>
                <w:sz w:val="19"/>
                <w:szCs w:val="19"/>
              </w:rPr>
              <w:t>1,409</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5E857D" w14:textId="77777777" w:rsidR="00756EEB" w:rsidRDefault="00000000">
            <w:pPr>
              <w:jc w:val="center"/>
            </w:pPr>
            <w:r>
              <w:rPr>
                <w:sz w:val="19"/>
                <w:szCs w:val="19"/>
              </w:rPr>
              <w:t>27.71%</w:t>
            </w:r>
          </w:p>
        </w:tc>
        <w:tc>
          <w:tcPr>
            <w:tcW w:w="17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33AEBB" w14:textId="77777777" w:rsidR="00756EEB" w:rsidRDefault="00000000">
            <w:pPr>
              <w:jc w:val="center"/>
            </w:pPr>
            <w:r>
              <w:rPr>
                <w:sz w:val="19"/>
                <w:szCs w:val="19"/>
              </w:rPr>
              <w:t>69.2%</w:t>
            </w:r>
          </w:p>
        </w:tc>
      </w:tr>
      <w:tr w:rsidR="00756EEB" w14:paraId="4F2C98D7"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811424" w14:textId="77777777" w:rsidR="00756EEB" w:rsidRDefault="00000000">
            <w:r>
              <w:rPr>
                <w:sz w:val="19"/>
                <w:szCs w:val="19"/>
              </w:rPr>
              <w:t>2</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EE949B" w14:textId="77777777" w:rsidR="00756EEB" w:rsidRDefault="00000000">
            <w:pPr>
              <w:jc w:val="center"/>
            </w:pPr>
            <w:r>
              <w:rPr>
                <w:sz w:val="19"/>
                <w:szCs w:val="19"/>
              </w:rPr>
              <w:t>4,590</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C7A498" w14:textId="77777777" w:rsidR="00756EEB" w:rsidRDefault="00000000">
            <w:pPr>
              <w:jc w:val="center"/>
            </w:pPr>
            <w:r>
              <w:rPr>
                <w:sz w:val="19"/>
                <w:szCs w:val="19"/>
              </w:rPr>
              <w:t>348</w:t>
            </w:r>
          </w:p>
        </w:tc>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025474" w14:textId="77777777" w:rsidR="00756EEB" w:rsidRDefault="00000000">
            <w:pPr>
              <w:jc w:val="center"/>
            </w:pPr>
            <w:r>
              <w:rPr>
                <w:sz w:val="19"/>
                <w:szCs w:val="19"/>
              </w:rPr>
              <w:t>7.58%</w:t>
            </w:r>
          </w:p>
        </w:tc>
        <w:tc>
          <w:tcPr>
            <w:tcW w:w="17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6EBBEF" w14:textId="77777777" w:rsidR="00756EEB" w:rsidRDefault="00000000">
            <w:pPr>
              <w:jc w:val="center"/>
            </w:pPr>
            <w:r>
              <w:rPr>
                <w:sz w:val="19"/>
                <w:szCs w:val="19"/>
              </w:rPr>
              <w:t>17.1%</w:t>
            </w:r>
          </w:p>
        </w:tc>
      </w:tr>
      <w:tr w:rsidR="00756EEB" w14:paraId="2E0E888E"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7CF041D9" w14:textId="77777777" w:rsidR="00756EEB" w:rsidRDefault="00000000">
            <w:r>
              <w:rPr>
                <w:sz w:val="19"/>
                <w:szCs w:val="19"/>
              </w:rPr>
              <w:t>3</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281B288E" w14:textId="77777777" w:rsidR="00756EEB" w:rsidRDefault="00000000">
            <w:pPr>
              <w:jc w:val="center"/>
            </w:pPr>
            <w:r>
              <w:rPr>
                <w:sz w:val="19"/>
                <w:szCs w:val="19"/>
              </w:rPr>
              <w:t>266</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34EF99D7" w14:textId="77777777" w:rsidR="00756EEB" w:rsidRDefault="00000000">
            <w:pPr>
              <w:jc w:val="center"/>
            </w:pPr>
            <w:r>
              <w:rPr>
                <w:sz w:val="19"/>
                <w:szCs w:val="19"/>
              </w:rPr>
              <w:t>220</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66EDA72B" w14:textId="77777777" w:rsidR="00756EEB" w:rsidRDefault="00000000">
            <w:pPr>
              <w:jc w:val="center"/>
            </w:pPr>
            <w:r>
              <w:rPr>
                <w:sz w:val="19"/>
                <w:szCs w:val="19"/>
              </w:rPr>
              <w:t>82.71%</w:t>
            </w:r>
          </w:p>
        </w:tc>
        <w:tc>
          <w:tcPr>
            <w:tcW w:w="1786"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46330333" w14:textId="77777777" w:rsidR="00756EEB" w:rsidRDefault="00000000">
            <w:pPr>
              <w:jc w:val="center"/>
            </w:pPr>
            <w:r>
              <w:rPr>
                <w:sz w:val="19"/>
                <w:szCs w:val="19"/>
              </w:rPr>
              <w:t>10.8%</w:t>
            </w:r>
          </w:p>
        </w:tc>
      </w:tr>
      <w:tr w:rsidR="00756EEB" w14:paraId="56340429" w14:textId="77777777">
        <w:tblPrEx>
          <w:tblCellMar>
            <w:top w:w="0" w:type="dxa"/>
            <w:bottom w:w="0" w:type="dxa"/>
          </w:tblCellMar>
        </w:tblPrEx>
        <w:trPr>
          <w:cantSplit/>
        </w:trPr>
        <w:tc>
          <w:tcPr>
            <w:tcW w:w="22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7E997EEE" w14:textId="77777777" w:rsidR="00756EEB" w:rsidRDefault="00000000">
            <w:r>
              <w:rPr>
                <w:sz w:val="19"/>
                <w:szCs w:val="19"/>
              </w:rPr>
              <w:t>4</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61A77E60" w14:textId="77777777" w:rsidR="00756EEB" w:rsidRDefault="00000000">
            <w:pPr>
              <w:jc w:val="center"/>
            </w:pPr>
            <w:r>
              <w:rPr>
                <w:sz w:val="19"/>
                <w:szCs w:val="19"/>
              </w:rPr>
              <w:t>60</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71A803E9" w14:textId="77777777" w:rsidR="00756EEB" w:rsidRDefault="00000000">
            <w:pPr>
              <w:jc w:val="center"/>
            </w:pPr>
            <w:r>
              <w:rPr>
                <w:sz w:val="19"/>
                <w:szCs w:val="19"/>
              </w:rPr>
              <w:t>60</w:t>
            </w:r>
          </w:p>
        </w:tc>
        <w:tc>
          <w:tcPr>
            <w:tcW w:w="1800"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55AAF615" w14:textId="77777777" w:rsidR="00756EEB" w:rsidRDefault="00000000">
            <w:pPr>
              <w:jc w:val="center"/>
            </w:pPr>
            <w:r>
              <w:rPr>
                <w:sz w:val="19"/>
                <w:szCs w:val="19"/>
              </w:rPr>
              <w:t>100%</w:t>
            </w:r>
          </w:p>
        </w:tc>
        <w:tc>
          <w:tcPr>
            <w:tcW w:w="1786" w:type="dxa"/>
            <w:tcBorders>
              <w:top w:val="single" w:sz="4" w:space="0" w:color="BBBBBB"/>
              <w:left w:val="single" w:sz="4" w:space="0" w:color="BBBBBB"/>
              <w:bottom w:val="single" w:sz="4" w:space="0" w:color="BBBBBB"/>
              <w:right w:val="single" w:sz="4" w:space="0" w:color="BBBBBB"/>
            </w:tcBorders>
            <w:shd w:val="clear" w:color="auto" w:fill="FADBD8"/>
            <w:tcMar>
              <w:top w:w="60" w:type="dxa"/>
              <w:left w:w="100" w:type="dxa"/>
              <w:bottom w:w="60" w:type="dxa"/>
              <w:right w:w="100" w:type="dxa"/>
            </w:tcMar>
          </w:tcPr>
          <w:p w14:paraId="1AAF67F6" w14:textId="77777777" w:rsidR="00756EEB" w:rsidRDefault="00000000">
            <w:pPr>
              <w:jc w:val="center"/>
            </w:pPr>
            <w:r>
              <w:rPr>
                <w:sz w:val="19"/>
                <w:szCs w:val="19"/>
              </w:rPr>
              <w:t>3.0%</w:t>
            </w:r>
          </w:p>
        </w:tc>
      </w:tr>
    </w:tbl>
    <w:p w14:paraId="249070CA" w14:textId="77777777" w:rsidR="00756EEB" w:rsidRDefault="00756EEB">
      <w:pPr>
        <w:spacing w:after="120"/>
      </w:pPr>
    </w:p>
    <w:p w14:paraId="5443AB55" w14:textId="77777777" w:rsidR="00756EEB" w:rsidRDefault="00000000">
      <w:pPr>
        <w:spacing w:after="120" w:line="276" w:lineRule="auto"/>
      </w:pPr>
      <w:r>
        <w:t>Customers with two products are the most loyal (7.6% churn). Single-product customers are 51% of the base and account for 69% of churners. Customers with 3 or 4 products are few (326) but almost all of them leave. This suggests a problem with how the bank sells or services larger product bundles, and should be investigated.</w:t>
      </w:r>
    </w:p>
    <w:p w14:paraId="4310AD53" w14:textId="77777777" w:rsidR="00756EEB" w:rsidRDefault="00000000">
      <w:pPr>
        <w:pStyle w:val="Heading2"/>
        <w:keepNext/>
      </w:pPr>
      <w:r>
        <w:rPr>
          <w:color w:val="1F3A5F"/>
        </w:rPr>
        <w:t>4.8 Churned vs retained customers</w:t>
      </w:r>
    </w:p>
    <w:p w14:paraId="71D633FF" w14:textId="77777777" w:rsidR="00756EEB" w:rsidRDefault="00000000">
      <w:pPr>
        <w:keepNext/>
        <w:spacing w:before="100" w:after="40"/>
        <w:jc w:val="center"/>
      </w:pPr>
      <w:r>
        <w:rPr>
          <w:noProof/>
        </w:rPr>
        <w:drawing>
          <wp:inline distT="0" distB="0" distL="0" distR="0" wp14:anchorId="093573A6" wp14:editId="62A264D2">
            <wp:extent cx="4762500" cy="1800225"/>
            <wp:effectExtent l="0" t="0" r="0" b="0"/>
            <wp:docPr id="1078328771" name="c_profile" descr="Figure 8: Average age, balance and credit score of retained vs churned customers" title="Figure 8: Average age, balance and credit score of retained vs churne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800225"/>
                    </a:xfrm>
                    <a:prstGeom prst="rect">
                      <a:avLst/>
                    </a:prstGeom>
                  </pic:spPr>
                </pic:pic>
              </a:graphicData>
            </a:graphic>
          </wp:inline>
        </w:drawing>
      </w:r>
    </w:p>
    <w:p w14:paraId="4195BE97" w14:textId="77777777" w:rsidR="00756EEB" w:rsidRDefault="00000000">
      <w:pPr>
        <w:spacing w:after="160"/>
        <w:jc w:val="center"/>
      </w:pPr>
      <w:r>
        <w:rPr>
          <w:i/>
          <w:iCs/>
          <w:color w:val="555555"/>
          <w:sz w:val="18"/>
          <w:szCs w:val="18"/>
        </w:rPr>
        <w:t>Figure 8: Average age, balance and credit score of retained vs churned customers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86"/>
      </w:tblGrid>
      <w:tr w:rsidR="00756EEB" w14:paraId="06280D7C" w14:textId="77777777">
        <w:tblPrEx>
          <w:tblCellMar>
            <w:top w:w="0" w:type="dxa"/>
            <w:bottom w:w="0" w:type="dxa"/>
          </w:tblCellMar>
        </w:tblPrEx>
        <w:trPr>
          <w:cantSplit/>
          <w:tblHeader/>
        </w:trPr>
        <w:tc>
          <w:tcPr>
            <w:tcW w:w="3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28BD7190" w14:textId="77777777" w:rsidR="00756EEB" w:rsidRDefault="00000000">
            <w:r>
              <w:rPr>
                <w:b/>
                <w:bCs/>
                <w:color w:val="FFFFFF"/>
                <w:sz w:val="19"/>
                <w:szCs w:val="19"/>
              </w:rPr>
              <w:t>Average</w:t>
            </w:r>
          </w:p>
        </w:tc>
        <w:tc>
          <w:tcPr>
            <w:tcW w:w="2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06BA5877" w14:textId="77777777" w:rsidR="00756EEB" w:rsidRDefault="00000000">
            <w:pPr>
              <w:jc w:val="center"/>
            </w:pPr>
            <w:r>
              <w:rPr>
                <w:b/>
                <w:bCs/>
                <w:color w:val="FFFFFF"/>
                <w:sz w:val="19"/>
                <w:szCs w:val="19"/>
              </w:rPr>
              <w:t>Retained</w:t>
            </w:r>
          </w:p>
        </w:tc>
        <w:tc>
          <w:tcPr>
            <w:tcW w:w="20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35E074B8" w14:textId="77777777" w:rsidR="00756EEB" w:rsidRDefault="00000000">
            <w:pPr>
              <w:jc w:val="center"/>
            </w:pPr>
            <w:r>
              <w:rPr>
                <w:b/>
                <w:bCs/>
                <w:color w:val="FFFFFF"/>
                <w:sz w:val="19"/>
                <w:szCs w:val="19"/>
              </w:rPr>
              <w:t>Churned</w:t>
            </w:r>
          </w:p>
        </w:tc>
        <w:tc>
          <w:tcPr>
            <w:tcW w:w="238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EEA861D" w14:textId="77777777" w:rsidR="00756EEB" w:rsidRDefault="00000000">
            <w:pPr>
              <w:jc w:val="center"/>
            </w:pPr>
            <w:r>
              <w:rPr>
                <w:b/>
                <w:bCs/>
                <w:color w:val="FFFFFF"/>
                <w:sz w:val="19"/>
                <w:szCs w:val="19"/>
              </w:rPr>
              <w:t>Difference</w:t>
            </w:r>
          </w:p>
        </w:tc>
      </w:tr>
      <w:tr w:rsidR="00756EEB" w14:paraId="01675AE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9A06C4" w14:textId="77777777" w:rsidR="00756EEB" w:rsidRDefault="00000000">
            <w:r>
              <w:rPr>
                <w:sz w:val="19"/>
                <w:szCs w:val="19"/>
              </w:rPr>
              <w:t>Age (years)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027A4D" w14:textId="77777777" w:rsidR="00756EEB" w:rsidRDefault="00000000">
            <w:pPr>
              <w:jc w:val="center"/>
            </w:pPr>
            <w:r>
              <w:rPr>
                <w:sz w:val="19"/>
                <w:szCs w:val="19"/>
              </w:rPr>
              <w:t>37.4</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1AA16F" w14:textId="77777777" w:rsidR="00756EEB" w:rsidRDefault="00000000">
            <w:pPr>
              <w:jc w:val="center"/>
            </w:pPr>
            <w:r>
              <w:rPr>
                <w:sz w:val="19"/>
                <w:szCs w:val="19"/>
              </w:rPr>
              <w:t>44.8</w:t>
            </w:r>
          </w:p>
        </w:tc>
        <w:tc>
          <w:tcPr>
            <w:tcW w:w="2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AFE16A" w14:textId="77777777" w:rsidR="00756EEB" w:rsidRDefault="00000000">
            <w:pPr>
              <w:jc w:val="center"/>
            </w:pPr>
            <w:r>
              <w:rPr>
                <w:sz w:val="19"/>
                <w:szCs w:val="19"/>
              </w:rPr>
              <w:t>+7.4</w:t>
            </w:r>
          </w:p>
        </w:tc>
      </w:tr>
      <w:tr w:rsidR="00756EEB" w14:paraId="2D36A970"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181182" w14:textId="77777777" w:rsidR="00756EEB" w:rsidRDefault="00000000">
            <w:r>
              <w:rPr>
                <w:sz w:val="19"/>
                <w:szCs w:val="19"/>
              </w:rPr>
              <w:t>Balance (EUR)</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649925" w14:textId="77777777" w:rsidR="00756EEB" w:rsidRDefault="00000000">
            <w:pPr>
              <w:jc w:val="center"/>
            </w:pPr>
            <w:r>
              <w:rPr>
                <w:sz w:val="19"/>
                <w:szCs w:val="19"/>
              </w:rPr>
              <w:t>72,745</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53FBA1" w14:textId="77777777" w:rsidR="00756EEB" w:rsidRDefault="00000000">
            <w:pPr>
              <w:jc w:val="center"/>
            </w:pPr>
            <w:r>
              <w:rPr>
                <w:sz w:val="19"/>
                <w:szCs w:val="19"/>
              </w:rPr>
              <w:t>91,109</w:t>
            </w:r>
          </w:p>
        </w:tc>
        <w:tc>
          <w:tcPr>
            <w:tcW w:w="2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E92B81" w14:textId="77777777" w:rsidR="00756EEB" w:rsidRDefault="00000000">
            <w:pPr>
              <w:jc w:val="center"/>
            </w:pPr>
            <w:r>
              <w:rPr>
                <w:sz w:val="19"/>
                <w:szCs w:val="19"/>
              </w:rPr>
              <w:t>+25%</w:t>
            </w:r>
          </w:p>
        </w:tc>
      </w:tr>
      <w:tr w:rsidR="00756EEB" w14:paraId="1B2A15E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0F02A8" w14:textId="77777777" w:rsidR="00756EEB" w:rsidRDefault="00000000">
            <w:r>
              <w:rPr>
                <w:sz w:val="19"/>
                <w:szCs w:val="19"/>
              </w:rPr>
              <w:t>Credit score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E5C01F" w14:textId="77777777" w:rsidR="00756EEB" w:rsidRDefault="00000000">
            <w:pPr>
              <w:jc w:val="center"/>
            </w:pPr>
            <w:r>
              <w:rPr>
                <w:sz w:val="19"/>
                <w:szCs w:val="19"/>
              </w:rPr>
              <w:t>651.9</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083DFA" w14:textId="77777777" w:rsidR="00756EEB" w:rsidRDefault="00000000">
            <w:pPr>
              <w:jc w:val="center"/>
            </w:pPr>
            <w:r>
              <w:rPr>
                <w:sz w:val="19"/>
                <w:szCs w:val="19"/>
              </w:rPr>
              <w:t>645.4</w:t>
            </w:r>
          </w:p>
        </w:tc>
        <w:tc>
          <w:tcPr>
            <w:tcW w:w="2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3E7C0E" w14:textId="77777777" w:rsidR="00756EEB" w:rsidRDefault="00000000">
            <w:pPr>
              <w:jc w:val="center"/>
            </w:pPr>
            <w:r>
              <w:rPr>
                <w:sz w:val="19"/>
                <w:szCs w:val="19"/>
              </w:rPr>
              <w:t>-6.5 (small)</w:t>
            </w:r>
          </w:p>
        </w:tc>
      </w:tr>
      <w:tr w:rsidR="00756EEB" w14:paraId="2C6CED6E"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981438" w14:textId="77777777" w:rsidR="00756EEB" w:rsidRDefault="00000000">
            <w:r>
              <w:rPr>
                <w:sz w:val="19"/>
                <w:szCs w:val="19"/>
              </w:rPr>
              <w:t>Tenure (years)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4C6A22" w14:textId="77777777" w:rsidR="00756EEB" w:rsidRDefault="00000000">
            <w:pPr>
              <w:jc w:val="center"/>
            </w:pPr>
            <w:r>
              <w:rPr>
                <w:sz w:val="19"/>
                <w:szCs w:val="19"/>
              </w:rPr>
              <w:t>5.03</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906043" w14:textId="77777777" w:rsidR="00756EEB" w:rsidRDefault="00000000">
            <w:pPr>
              <w:jc w:val="center"/>
            </w:pPr>
            <w:r>
              <w:rPr>
                <w:sz w:val="19"/>
                <w:szCs w:val="19"/>
              </w:rPr>
              <w:t>4.93</w:t>
            </w:r>
          </w:p>
        </w:tc>
        <w:tc>
          <w:tcPr>
            <w:tcW w:w="2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C9AFE0" w14:textId="77777777" w:rsidR="00756EEB" w:rsidRDefault="00000000">
            <w:pPr>
              <w:jc w:val="center"/>
            </w:pPr>
            <w:r>
              <w:rPr>
                <w:sz w:val="19"/>
                <w:szCs w:val="19"/>
              </w:rPr>
              <w:t>-0.1 (none)</w:t>
            </w:r>
          </w:p>
        </w:tc>
      </w:tr>
      <w:tr w:rsidR="00756EEB" w14:paraId="6FDB26E1" w14:textId="77777777">
        <w:tblPrEx>
          <w:tblCellMar>
            <w:top w:w="0" w:type="dxa"/>
            <w:bottom w:w="0" w:type="dxa"/>
          </w:tblCellMar>
        </w:tblPrEx>
        <w:trPr>
          <w:cantSplit/>
        </w:trPr>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DD729E" w14:textId="77777777" w:rsidR="00756EEB" w:rsidRDefault="00000000">
            <w:r>
              <w:rPr>
                <w:sz w:val="19"/>
                <w:szCs w:val="19"/>
              </w:rPr>
              <w:t>Active member (share)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83198C" w14:textId="77777777" w:rsidR="00756EEB" w:rsidRDefault="00000000">
            <w:pPr>
              <w:jc w:val="center"/>
            </w:pPr>
            <w:r>
              <w:rPr>
                <w:sz w:val="19"/>
                <w:szCs w:val="19"/>
              </w:rPr>
              <w:t>55%</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77FD42" w14:textId="77777777" w:rsidR="00756EEB" w:rsidRDefault="00000000">
            <w:pPr>
              <w:jc w:val="center"/>
            </w:pPr>
            <w:r>
              <w:rPr>
                <w:sz w:val="19"/>
                <w:szCs w:val="19"/>
              </w:rPr>
              <w:t>36%</w:t>
            </w:r>
          </w:p>
        </w:tc>
        <w:tc>
          <w:tcPr>
            <w:tcW w:w="2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3B87F1" w14:textId="77777777" w:rsidR="00756EEB" w:rsidRDefault="00000000">
            <w:pPr>
              <w:jc w:val="center"/>
            </w:pPr>
            <w:r>
              <w:rPr>
                <w:sz w:val="19"/>
                <w:szCs w:val="19"/>
              </w:rPr>
              <w:t>-19 pts</w:t>
            </w:r>
          </w:p>
        </w:tc>
      </w:tr>
    </w:tbl>
    <w:p w14:paraId="456F692B" w14:textId="77777777" w:rsidR="00756EEB" w:rsidRDefault="00756EEB">
      <w:pPr>
        <w:spacing w:after="120"/>
      </w:pPr>
    </w:p>
    <w:p w14:paraId="5E2271F5" w14:textId="77777777" w:rsidR="00756EEB" w:rsidRDefault="00000000">
      <w:pPr>
        <w:spacing w:after="120" w:line="276" w:lineRule="auto"/>
      </w:pPr>
      <w:r>
        <w:lastRenderedPageBreak/>
        <w:t>The typical churner is older, holds a higher balance and is less active. Credit score and tenure are almost identical between the two groups. Correlation with Exited confirms the ranking: age (+0.29), inactivity (-0.16 for active status), balance (+0.12); all others are close to zero.</w:t>
      </w:r>
    </w:p>
    <w:p w14:paraId="6A7AADF3" w14:textId="77777777" w:rsidR="00756EEB" w:rsidRDefault="00000000">
      <w:pPr>
        <w:keepNext/>
        <w:spacing w:before="100" w:after="40"/>
        <w:jc w:val="center"/>
      </w:pPr>
      <w:r>
        <w:rPr>
          <w:noProof/>
        </w:rPr>
        <w:drawing>
          <wp:inline distT="0" distB="0" distL="0" distR="0" wp14:anchorId="0B02AB01" wp14:editId="0066E942">
            <wp:extent cx="4000500" cy="2371725"/>
            <wp:effectExtent l="0" t="0" r="0" b="0"/>
            <wp:docPr id="280791255" name="c_contrib" descr="Figure 9: Share of customers vs share of churners" title="Figure 9: Share of customers vs share of chu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371725"/>
                    </a:xfrm>
                    <a:prstGeom prst="rect">
                      <a:avLst/>
                    </a:prstGeom>
                  </pic:spPr>
                </pic:pic>
              </a:graphicData>
            </a:graphic>
          </wp:inline>
        </w:drawing>
      </w:r>
    </w:p>
    <w:p w14:paraId="7F703D55" w14:textId="77777777" w:rsidR="00756EEB" w:rsidRDefault="00000000">
      <w:pPr>
        <w:spacing w:after="160"/>
        <w:jc w:val="center"/>
      </w:pPr>
      <w:r>
        <w:rPr>
          <w:i/>
          <w:iCs/>
          <w:color w:val="555555"/>
          <w:sz w:val="18"/>
          <w:szCs w:val="18"/>
        </w:rPr>
        <w:t>Figure 9: Share of customers vs share of churners</w:t>
      </w:r>
    </w:p>
    <w:p w14:paraId="0FEDE1F7" w14:textId="77777777" w:rsidR="00756EEB" w:rsidRDefault="00000000">
      <w:pPr>
        <w:pStyle w:val="Heading1"/>
        <w:keepNext/>
      </w:pPr>
      <w:r>
        <w:rPr>
          <w:color w:val="1F3A5F"/>
        </w:rPr>
        <w:t>5. High-Value Customer Analysis</w:t>
      </w:r>
    </w:p>
    <w:p w14:paraId="34026C6A" w14:textId="77777777" w:rsidR="00756EEB" w:rsidRDefault="00000000">
      <w:pPr>
        <w:spacing w:after="120" w:line="276" w:lineRule="auto"/>
      </w:pPr>
      <w:r>
        <w:t>High-value customers were defined as the top 25% by account balance (balance above EUR 127,644; 2,500 customers). Revenue risk is measured as the balance held by customers who left, used as a proxy for lost deposits because the dataset has no revenue field.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500"/>
        <w:gridCol w:w="2486"/>
      </w:tblGrid>
      <w:tr w:rsidR="00756EEB" w14:paraId="7ADF0297" w14:textId="77777777">
        <w:tblPrEx>
          <w:tblCellMar>
            <w:top w:w="0" w:type="dxa"/>
            <w:bottom w:w="0" w:type="dxa"/>
          </w:tblCellMar>
        </w:tblPrEx>
        <w:trPr>
          <w:cantSplit/>
          <w:tblHeader/>
        </w:trPr>
        <w:tc>
          <w:tcPr>
            <w:tcW w:w="44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5C05F460" w14:textId="77777777" w:rsidR="00756EEB" w:rsidRDefault="00000000">
            <w:r>
              <w:rPr>
                <w:b/>
                <w:bCs/>
                <w:color w:val="FFFFFF"/>
                <w:sz w:val="19"/>
                <w:szCs w:val="19"/>
              </w:rPr>
              <w:t>Measure</w:t>
            </w:r>
          </w:p>
        </w:tc>
        <w:tc>
          <w:tcPr>
            <w:tcW w:w="25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B7CE6DB" w14:textId="77777777" w:rsidR="00756EEB" w:rsidRDefault="00000000">
            <w:pPr>
              <w:jc w:val="center"/>
            </w:pPr>
            <w:r>
              <w:rPr>
                <w:b/>
                <w:bCs/>
                <w:color w:val="FFFFFF"/>
                <w:sz w:val="19"/>
                <w:szCs w:val="19"/>
              </w:rPr>
              <w:t>High-value (top 25%)</w:t>
            </w:r>
          </w:p>
        </w:tc>
        <w:tc>
          <w:tcPr>
            <w:tcW w:w="248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31B1538C" w14:textId="77777777" w:rsidR="00756EEB" w:rsidRDefault="00000000">
            <w:pPr>
              <w:jc w:val="center"/>
            </w:pPr>
            <w:r>
              <w:rPr>
                <w:b/>
                <w:bCs/>
                <w:color w:val="FFFFFF"/>
                <w:sz w:val="19"/>
                <w:szCs w:val="19"/>
              </w:rPr>
              <w:t>Other customers</w:t>
            </w:r>
          </w:p>
        </w:tc>
      </w:tr>
      <w:tr w:rsidR="00756EEB" w14:paraId="7DDF0A8F" w14:textId="77777777">
        <w:tblPrEx>
          <w:tblCellMar>
            <w:top w:w="0" w:type="dxa"/>
            <w:bottom w:w="0" w:type="dxa"/>
          </w:tblCellMar>
        </w:tblPrEx>
        <w:trPr>
          <w:cantSplit/>
        </w:trPr>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7347CD" w14:textId="77777777" w:rsidR="00756EEB" w:rsidRDefault="00000000">
            <w:r>
              <w:rPr>
                <w:sz w:val="19"/>
                <w:szCs w:val="19"/>
              </w:rPr>
              <w:t>Customers</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966182" w14:textId="77777777" w:rsidR="00756EEB" w:rsidRDefault="00000000">
            <w:pPr>
              <w:jc w:val="center"/>
            </w:pPr>
            <w:r>
              <w:rPr>
                <w:sz w:val="19"/>
                <w:szCs w:val="19"/>
              </w:rPr>
              <w:t>2,500</w:t>
            </w:r>
          </w:p>
        </w:tc>
        <w:tc>
          <w:tcPr>
            <w:tcW w:w="24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927907D" w14:textId="77777777" w:rsidR="00756EEB" w:rsidRDefault="00000000">
            <w:pPr>
              <w:jc w:val="center"/>
            </w:pPr>
            <w:r>
              <w:rPr>
                <w:sz w:val="19"/>
                <w:szCs w:val="19"/>
              </w:rPr>
              <w:t>7,500</w:t>
            </w:r>
          </w:p>
        </w:tc>
      </w:tr>
      <w:tr w:rsidR="00756EEB" w14:paraId="3002C7AC" w14:textId="77777777">
        <w:tblPrEx>
          <w:tblCellMar>
            <w:top w:w="0" w:type="dxa"/>
            <w:bottom w:w="0" w:type="dxa"/>
          </w:tblCellMar>
        </w:tblPrEx>
        <w:trPr>
          <w:cantSplit/>
        </w:trPr>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A51997" w14:textId="77777777" w:rsidR="00756EEB" w:rsidRDefault="00000000">
            <w:r>
              <w:rPr>
                <w:sz w:val="19"/>
                <w:szCs w:val="19"/>
              </w:rPr>
              <w:t>Churn rate</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D3A9A0" w14:textId="77777777" w:rsidR="00756EEB" w:rsidRDefault="00000000">
            <w:pPr>
              <w:jc w:val="center"/>
            </w:pPr>
            <w:r>
              <w:rPr>
                <w:sz w:val="19"/>
                <w:szCs w:val="19"/>
              </w:rPr>
              <w:t>23.68%</w:t>
            </w:r>
          </w:p>
        </w:tc>
        <w:tc>
          <w:tcPr>
            <w:tcW w:w="24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1F04AA" w14:textId="77777777" w:rsidR="00756EEB" w:rsidRDefault="00000000">
            <w:pPr>
              <w:jc w:val="center"/>
            </w:pPr>
            <w:r>
              <w:rPr>
                <w:sz w:val="19"/>
                <w:szCs w:val="19"/>
              </w:rPr>
              <w:t>19.27%</w:t>
            </w:r>
          </w:p>
        </w:tc>
      </w:tr>
      <w:tr w:rsidR="00756EEB" w14:paraId="0F2E68CC" w14:textId="77777777">
        <w:tblPrEx>
          <w:tblCellMar>
            <w:top w:w="0" w:type="dxa"/>
            <w:bottom w:w="0" w:type="dxa"/>
          </w:tblCellMar>
        </w:tblPrEx>
        <w:trPr>
          <w:cantSplit/>
        </w:trPr>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B2EA1F" w14:textId="77777777" w:rsidR="00756EEB" w:rsidRDefault="00000000">
            <w:r>
              <w:rPr>
                <w:sz w:val="19"/>
                <w:szCs w:val="19"/>
              </w:rPr>
              <w:t>France / Germany / Spain churn</w:t>
            </w:r>
          </w:p>
        </w:tc>
        <w:tc>
          <w:tcPr>
            <w:tcW w:w="2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CCA2E4" w14:textId="77777777" w:rsidR="00756EEB" w:rsidRDefault="00000000">
            <w:pPr>
              <w:jc w:val="center"/>
            </w:pPr>
            <w:r>
              <w:rPr>
                <w:sz w:val="19"/>
                <w:szCs w:val="19"/>
              </w:rPr>
              <w:t>20.3% / 29.0% / 20.8%</w:t>
            </w:r>
          </w:p>
        </w:tc>
        <w:tc>
          <w:tcPr>
            <w:tcW w:w="24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491F9F1" w14:textId="77777777" w:rsidR="00756EEB" w:rsidRDefault="00000000">
            <w:pPr>
              <w:jc w:val="center"/>
            </w:pPr>
            <w:r>
              <w:rPr>
                <w:sz w:val="19"/>
                <w:szCs w:val="19"/>
              </w:rPr>
              <w:t>-</w:t>
            </w:r>
          </w:p>
        </w:tc>
      </w:tr>
    </w:tbl>
    <w:p w14:paraId="02771036" w14:textId="77777777" w:rsidR="00756EEB" w:rsidRDefault="00756EEB">
      <w:pPr>
        <w:spacing w:after="120"/>
      </w:pPr>
    </w:p>
    <w:p w14:paraId="2CB5A0A4" w14:textId="77777777" w:rsidR="00756EEB" w:rsidRDefault="00000000">
      <w:pPr>
        <w:keepNext/>
        <w:spacing w:before="100" w:after="40"/>
        <w:jc w:val="center"/>
      </w:pPr>
      <w:r>
        <w:rPr>
          <w:noProof/>
        </w:rPr>
        <w:drawing>
          <wp:inline distT="0" distB="0" distL="0" distR="0" wp14:anchorId="070F3CAE" wp14:editId="6E979F6C">
            <wp:extent cx="3429000" cy="2286000"/>
            <wp:effectExtent l="0" t="0" r="0" b="0"/>
            <wp:docPr id="1231367248" name="c_hv" descr="Figure 10: Churn rate, high-value vs other customers" title="Figure 10: Churn rate, high-value vs other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286000"/>
                    </a:xfrm>
                    <a:prstGeom prst="rect">
                      <a:avLst/>
                    </a:prstGeom>
                  </pic:spPr>
                </pic:pic>
              </a:graphicData>
            </a:graphic>
          </wp:inline>
        </w:drawing>
      </w:r>
    </w:p>
    <w:p w14:paraId="4EE06FD2" w14:textId="77777777" w:rsidR="00756EEB" w:rsidRDefault="00000000">
      <w:pPr>
        <w:spacing w:after="160"/>
        <w:jc w:val="center"/>
      </w:pPr>
      <w:r>
        <w:rPr>
          <w:i/>
          <w:iCs/>
          <w:color w:val="555555"/>
          <w:sz w:val="18"/>
          <w:szCs w:val="18"/>
        </w:rPr>
        <w:t>Figure 10: Churn rate, high-value vs other customers</w:t>
      </w:r>
    </w:p>
    <w:p w14:paraId="132EBDA2" w14:textId="77777777" w:rsidR="00756EEB" w:rsidRDefault="00000000">
      <w:pPr>
        <w:spacing w:after="120" w:line="276" w:lineRule="auto"/>
      </w:pPr>
      <w:r>
        <w:t xml:space="preserve">High-value customers churn more often than the rest (23.7% vs 19.3%), and because their balances are large the money at stake is much bigger. Customers who left took </w:t>
      </w:r>
      <w:r>
        <w:rPr>
          <w:b/>
          <w:bCs/>
        </w:rPr>
        <w:t>EUR 185.6 million, which is 24.3% of all balances</w:t>
      </w:r>
      <w:r>
        <w:t xml:space="preserve"> (EUR 764.9 million in total). Churning high-value customers alone account for EUR 88.7 million, or 47.8% of the lost balance, although they are only 29% of all churners. By country, Germany carries the largest loss (EUR 98.0 million), then France (EUR 57.7 million) and Spain (EUR 29.9 million).</w:t>
      </w:r>
    </w:p>
    <w:p w14:paraId="032DAA60" w14:textId="77777777" w:rsidR="00756EEB" w:rsidRDefault="00000000">
      <w:pPr>
        <w:keepNext/>
        <w:spacing w:before="100" w:after="40"/>
        <w:jc w:val="center"/>
      </w:pPr>
      <w:r>
        <w:rPr>
          <w:noProof/>
        </w:rPr>
        <w:lastRenderedPageBreak/>
        <w:drawing>
          <wp:inline distT="0" distB="0" distL="0" distR="0" wp14:anchorId="49CBF400" wp14:editId="305C85C8">
            <wp:extent cx="4095750" cy="2686050"/>
            <wp:effectExtent l="0" t="0" r="0" b="0"/>
            <wp:docPr id="38236515" name="c_scatter" descr="Figure 11: Salary vs balance, coloured by churn" title="Figure 11: Salary vs balance, coloured by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686050"/>
                    </a:xfrm>
                    <a:prstGeom prst="rect">
                      <a:avLst/>
                    </a:prstGeom>
                  </pic:spPr>
                </pic:pic>
              </a:graphicData>
            </a:graphic>
          </wp:inline>
        </w:drawing>
      </w:r>
    </w:p>
    <w:p w14:paraId="09EDD309" w14:textId="77777777" w:rsidR="00756EEB" w:rsidRDefault="00000000">
      <w:pPr>
        <w:spacing w:after="160"/>
        <w:jc w:val="center"/>
      </w:pPr>
      <w:r>
        <w:rPr>
          <w:i/>
          <w:iCs/>
          <w:color w:val="555555"/>
          <w:sz w:val="18"/>
          <w:szCs w:val="18"/>
        </w:rPr>
        <w:t>Figure 11: Salary vs balance, coloured by churn</w:t>
      </w:r>
    </w:p>
    <w:p w14:paraId="03C5AF8E" w14:textId="77777777" w:rsidR="00756EEB" w:rsidRDefault="00000000">
      <w:pPr>
        <w:spacing w:after="120" w:line="276" w:lineRule="auto"/>
      </w:pPr>
      <w:r>
        <w:t>The salary-versus-balance scatter plot shows that churners (red) are spread across the whole salary range. Salary quartiles churn at almost the same rate (20.0%, 19.8%, 20.1%, 21.6%). Balance, not salary, is what makes a lost customer expensive, so retention effort should follow the balance a customer holds, not the income they earn.</w:t>
      </w:r>
    </w:p>
    <w:p w14:paraId="51EC964B" w14:textId="77777777" w:rsidR="00756EEB" w:rsidRDefault="00000000">
      <w:pPr>
        <w:pStyle w:val="Heading1"/>
        <w:keepNext/>
      </w:pPr>
      <w:r>
        <w:rPr>
          <w:color w:val="1F3A5F"/>
        </w:rPr>
        <w:t>6. Key Performance Indicators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586"/>
      </w:tblGrid>
      <w:tr w:rsidR="00756EEB" w14:paraId="7FB3B67A" w14:textId="77777777">
        <w:tblPrEx>
          <w:tblCellMar>
            <w:top w:w="0" w:type="dxa"/>
            <w:bottom w:w="0" w:type="dxa"/>
          </w:tblCellMar>
        </w:tblPrEx>
        <w:trPr>
          <w:cantSplit/>
          <w:tblHeader/>
        </w:trPr>
        <w:tc>
          <w:tcPr>
            <w:tcW w:w="32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7C4EA345" w14:textId="77777777" w:rsidR="00756EEB" w:rsidRDefault="00000000">
            <w:r>
              <w:rPr>
                <w:b/>
                <w:bCs/>
                <w:color w:val="FFFFFF"/>
                <w:sz w:val="19"/>
                <w:szCs w:val="19"/>
              </w:rPr>
              <w:t>KPI</w:t>
            </w:r>
          </w:p>
        </w:tc>
        <w:tc>
          <w:tcPr>
            <w:tcW w:w="3600"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6FDA9A2E" w14:textId="77777777" w:rsidR="00756EEB" w:rsidRDefault="00000000">
            <w:pPr>
              <w:jc w:val="center"/>
            </w:pPr>
            <w:r>
              <w:rPr>
                <w:b/>
                <w:bCs/>
                <w:color w:val="FFFFFF"/>
                <w:sz w:val="19"/>
                <w:szCs w:val="19"/>
              </w:rPr>
              <w:t>How it is calculated</w:t>
            </w:r>
          </w:p>
        </w:tc>
        <w:tc>
          <w:tcPr>
            <w:tcW w:w="2586" w:type="dxa"/>
            <w:tcBorders>
              <w:top w:val="single" w:sz="4" w:space="0" w:color="BBBBBB"/>
              <w:left w:val="single" w:sz="4" w:space="0" w:color="BBBBBB"/>
              <w:bottom w:val="single" w:sz="4" w:space="0" w:color="BBBBBB"/>
              <w:right w:val="single" w:sz="4" w:space="0" w:color="BBBBBB"/>
            </w:tcBorders>
            <w:shd w:val="clear" w:color="auto" w:fill="1F3A5F"/>
            <w:tcMar>
              <w:top w:w="60" w:type="dxa"/>
              <w:left w:w="100" w:type="dxa"/>
              <w:bottom w:w="60" w:type="dxa"/>
              <w:right w:w="100" w:type="dxa"/>
            </w:tcMar>
          </w:tcPr>
          <w:p w14:paraId="3059CA54" w14:textId="77777777" w:rsidR="00756EEB" w:rsidRDefault="00000000">
            <w:pPr>
              <w:jc w:val="center"/>
            </w:pPr>
            <w:r>
              <w:rPr>
                <w:b/>
                <w:bCs/>
                <w:color w:val="FFFFFF"/>
                <w:sz w:val="19"/>
                <w:szCs w:val="19"/>
              </w:rPr>
              <w:t>Result</w:t>
            </w:r>
          </w:p>
        </w:tc>
      </w:tr>
      <w:tr w:rsidR="00756EEB" w14:paraId="77798681" w14:textId="77777777">
        <w:tblPrEx>
          <w:tblCellMar>
            <w:top w:w="0" w:type="dxa"/>
            <w:bottom w:w="0" w:type="dxa"/>
          </w:tblCellMar>
        </w:tblPrEx>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6C6ED7" w14:textId="77777777" w:rsidR="00756EEB" w:rsidRDefault="00000000">
            <w:r>
              <w:rPr>
                <w:sz w:val="19"/>
                <w:szCs w:val="19"/>
              </w:rPr>
              <w:t>Overall Churn Rate</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E50625" w14:textId="77777777" w:rsidR="00756EEB" w:rsidRDefault="00000000">
            <w:pPr>
              <w:jc w:val="center"/>
            </w:pPr>
            <w:r>
              <w:rPr>
                <w:sz w:val="19"/>
                <w:szCs w:val="19"/>
              </w:rPr>
              <w:t>Churned / all customers</w:t>
            </w:r>
          </w:p>
        </w:tc>
        <w:tc>
          <w:tcPr>
            <w:tcW w:w="2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29A3B1" w14:textId="77777777" w:rsidR="00756EEB" w:rsidRDefault="00000000">
            <w:pPr>
              <w:jc w:val="center"/>
            </w:pPr>
            <w:r>
              <w:rPr>
                <w:sz w:val="19"/>
                <w:szCs w:val="19"/>
              </w:rPr>
              <w:t>20.37%</w:t>
            </w:r>
          </w:p>
        </w:tc>
      </w:tr>
      <w:tr w:rsidR="00756EEB" w14:paraId="2D6D6B2C" w14:textId="77777777">
        <w:tblPrEx>
          <w:tblCellMar>
            <w:top w:w="0" w:type="dxa"/>
            <w:bottom w:w="0" w:type="dxa"/>
          </w:tblCellMar>
        </w:tblPrEx>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29EE77" w14:textId="77777777" w:rsidR="00756EEB" w:rsidRDefault="00000000">
            <w:r>
              <w:rPr>
                <w:sz w:val="19"/>
                <w:szCs w:val="19"/>
              </w:rPr>
              <w:t>Segment Churn Rate</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ADF86A" w14:textId="77777777" w:rsidR="00756EEB" w:rsidRDefault="00000000">
            <w:pPr>
              <w:jc w:val="center"/>
            </w:pPr>
            <w:r>
              <w:rPr>
                <w:sz w:val="19"/>
                <w:szCs w:val="19"/>
              </w:rPr>
              <w:t>Churn % within each segment</w:t>
            </w:r>
          </w:p>
        </w:tc>
        <w:tc>
          <w:tcPr>
            <w:tcW w:w="2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1FC24B" w14:textId="77777777" w:rsidR="00756EEB" w:rsidRDefault="00000000">
            <w:pPr>
              <w:jc w:val="center"/>
            </w:pPr>
            <w:r>
              <w:rPr>
                <w:sz w:val="19"/>
                <w:szCs w:val="19"/>
              </w:rPr>
              <w:t>See Section 4 (e.g. Germany 32.4%, age 46-60 51.1%)</w:t>
            </w:r>
          </w:p>
        </w:tc>
      </w:tr>
      <w:tr w:rsidR="00756EEB" w14:paraId="6FFDEAF2" w14:textId="77777777">
        <w:tblPrEx>
          <w:tblCellMar>
            <w:top w:w="0" w:type="dxa"/>
            <w:bottom w:w="0" w:type="dxa"/>
          </w:tblCellMar>
        </w:tblPrEx>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B54C1A" w14:textId="77777777" w:rsidR="00756EEB" w:rsidRDefault="00000000">
            <w:r>
              <w:rPr>
                <w:sz w:val="19"/>
                <w:szCs w:val="19"/>
              </w:rPr>
              <w:t>High-Value Churn Ratio</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356879" w14:textId="77777777" w:rsidR="00756EEB" w:rsidRDefault="00000000">
            <w:pPr>
              <w:jc w:val="center"/>
            </w:pPr>
            <w:r>
              <w:rPr>
                <w:sz w:val="19"/>
                <w:szCs w:val="19"/>
              </w:rPr>
              <w:t>Churn among top 25% by balance</w:t>
            </w:r>
          </w:p>
        </w:tc>
        <w:tc>
          <w:tcPr>
            <w:tcW w:w="2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F5BA6D" w14:textId="77777777" w:rsidR="00756EEB" w:rsidRDefault="00000000">
            <w:pPr>
              <w:jc w:val="center"/>
            </w:pPr>
            <w:r>
              <w:rPr>
                <w:sz w:val="19"/>
                <w:szCs w:val="19"/>
              </w:rPr>
              <w:t>23.68%</w:t>
            </w:r>
          </w:p>
        </w:tc>
      </w:tr>
      <w:tr w:rsidR="00756EEB" w14:paraId="56FAF786" w14:textId="77777777">
        <w:tblPrEx>
          <w:tblCellMar>
            <w:top w:w="0" w:type="dxa"/>
            <w:bottom w:w="0" w:type="dxa"/>
          </w:tblCellMar>
        </w:tblPrEx>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2B2FC9" w14:textId="77777777" w:rsidR="00756EEB" w:rsidRDefault="00000000">
            <w:r>
              <w:rPr>
                <w:sz w:val="19"/>
                <w:szCs w:val="19"/>
              </w:rPr>
              <w:t>Geographic Risk Index</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D5252F" w14:textId="77777777" w:rsidR="00756EEB" w:rsidRDefault="00000000">
            <w:pPr>
              <w:jc w:val="center"/>
            </w:pPr>
            <w:r>
              <w:rPr>
                <w:sz w:val="19"/>
                <w:szCs w:val="19"/>
              </w:rPr>
              <w:t>Country churn / overall churn</w:t>
            </w:r>
          </w:p>
        </w:tc>
        <w:tc>
          <w:tcPr>
            <w:tcW w:w="2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005CF6" w14:textId="77777777" w:rsidR="00756EEB" w:rsidRDefault="00000000">
            <w:pPr>
              <w:jc w:val="center"/>
            </w:pPr>
            <w:r>
              <w:rPr>
                <w:sz w:val="19"/>
                <w:szCs w:val="19"/>
              </w:rPr>
              <w:t>Germany 1.59, Spain 0.82, France 0.79</w:t>
            </w:r>
          </w:p>
        </w:tc>
      </w:tr>
      <w:tr w:rsidR="00756EEB" w14:paraId="0F61A796" w14:textId="77777777">
        <w:tblPrEx>
          <w:tblCellMar>
            <w:top w:w="0" w:type="dxa"/>
            <w:bottom w:w="0" w:type="dxa"/>
          </w:tblCellMar>
        </w:tblPrEx>
        <w:trPr>
          <w:cantSplit/>
        </w:trPr>
        <w:tc>
          <w:tcPr>
            <w:tcW w:w="3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F6A552" w14:textId="77777777" w:rsidR="00756EEB" w:rsidRDefault="00000000">
            <w:r>
              <w:rPr>
                <w:sz w:val="19"/>
                <w:szCs w:val="19"/>
              </w:rPr>
              <w:t>Engagement Drop Indicator</w:t>
            </w:r>
          </w:p>
        </w:tc>
        <w:tc>
          <w:tcPr>
            <w:tcW w:w="36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312C3B" w14:textId="77777777" w:rsidR="00756EEB" w:rsidRDefault="00000000">
            <w:pPr>
              <w:jc w:val="center"/>
            </w:pPr>
            <w:r>
              <w:rPr>
                <w:sz w:val="19"/>
                <w:szCs w:val="19"/>
              </w:rPr>
              <w:t>Inactive churn / active churn</w:t>
            </w:r>
          </w:p>
        </w:tc>
        <w:tc>
          <w:tcPr>
            <w:tcW w:w="2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7AAD93" w14:textId="77777777" w:rsidR="00756EEB" w:rsidRDefault="00000000">
            <w:pPr>
              <w:jc w:val="center"/>
            </w:pPr>
            <w:r>
              <w:rPr>
                <w:sz w:val="19"/>
                <w:szCs w:val="19"/>
              </w:rPr>
              <w:t>1.88x (26.85% vs 14.27%)</w:t>
            </w:r>
          </w:p>
        </w:tc>
      </w:tr>
    </w:tbl>
    <w:p w14:paraId="3066EE66" w14:textId="77777777" w:rsidR="00756EEB" w:rsidRDefault="00756EEB">
      <w:pPr>
        <w:spacing w:after="120"/>
      </w:pPr>
    </w:p>
    <w:p w14:paraId="77D48EC6" w14:textId="77777777" w:rsidR="00756EEB" w:rsidRDefault="00000000">
      <w:pPr>
        <w:pStyle w:val="Heading1"/>
        <w:keepNext/>
      </w:pPr>
      <w:r>
        <w:rPr>
          <w:color w:val="1F3A5F"/>
        </w:rPr>
        <w:t>7. Recommendations</w:t>
      </w:r>
    </w:p>
    <w:p w14:paraId="30764C53" w14:textId="77777777" w:rsidR="00756EEB" w:rsidRDefault="00000000">
      <w:pPr>
        <w:pStyle w:val="ListParagraph"/>
        <w:numPr>
          <w:ilvl w:val="0"/>
          <w:numId w:val="2"/>
        </w:numPr>
        <w:spacing w:after="100"/>
      </w:pPr>
      <w:r>
        <w:rPr>
          <w:b/>
          <w:bCs/>
        </w:rPr>
        <w:t xml:space="preserve">Run a priority retention programme in Germany. </w:t>
      </w:r>
      <w:r>
        <w:t>It has 40% of churners and EUR 98 million of lost balance. Investigate causes locally (pricing, service, competition) through customer interviews or exit surveys.</w:t>
      </w:r>
    </w:p>
    <w:p w14:paraId="455AD283" w14:textId="77777777" w:rsidR="00756EEB" w:rsidRDefault="00000000">
      <w:pPr>
        <w:pStyle w:val="ListParagraph"/>
        <w:numPr>
          <w:ilvl w:val="0"/>
          <w:numId w:val="2"/>
        </w:numPr>
        <w:spacing w:after="100"/>
      </w:pPr>
      <w:r>
        <w:rPr>
          <w:b/>
          <w:bCs/>
        </w:rPr>
        <w:t xml:space="preserve">Target customers aged 46-60. </w:t>
      </w:r>
      <w:r>
        <w:t>Offer relationship-manager contact, savings and retirement-planning products, and proactive outreach. Start with German customers in this age band, where churn is 67%.</w:t>
      </w:r>
    </w:p>
    <w:p w14:paraId="484AB492" w14:textId="77777777" w:rsidR="00756EEB" w:rsidRDefault="00000000">
      <w:pPr>
        <w:pStyle w:val="ListParagraph"/>
        <w:numPr>
          <w:ilvl w:val="0"/>
          <w:numId w:val="2"/>
        </w:numPr>
        <w:spacing w:after="100"/>
      </w:pPr>
      <w:r>
        <w:rPr>
          <w:b/>
          <w:bCs/>
        </w:rPr>
        <w:t xml:space="preserve">Build an inactivity early-warning system. </w:t>
      </w:r>
      <w:r>
        <w:t>Flag members who become inactive and contact them with re-engagement offers before they leave. Inactive members churn 1.9 times more often.</w:t>
      </w:r>
    </w:p>
    <w:p w14:paraId="74FE1BBA" w14:textId="77777777" w:rsidR="00756EEB" w:rsidRDefault="00000000">
      <w:pPr>
        <w:pStyle w:val="ListParagraph"/>
        <w:numPr>
          <w:ilvl w:val="0"/>
          <w:numId w:val="2"/>
        </w:numPr>
        <w:spacing w:after="100"/>
      </w:pPr>
      <w:r>
        <w:rPr>
          <w:b/>
          <w:bCs/>
        </w:rPr>
        <w:t xml:space="preserve">Review the 3-4 product offering. </w:t>
      </w:r>
      <w:r>
        <w:t>Check whether bundles are mis-sold, expensive or poorly serviced. Meanwhile, encourage single-product customers to adopt a second product, since two-product customers churn the least (7.6%).</w:t>
      </w:r>
    </w:p>
    <w:p w14:paraId="537AB4D7" w14:textId="77777777" w:rsidR="00756EEB" w:rsidRDefault="00000000">
      <w:pPr>
        <w:pStyle w:val="ListParagraph"/>
        <w:numPr>
          <w:ilvl w:val="0"/>
          <w:numId w:val="2"/>
        </w:numPr>
        <w:spacing w:after="100"/>
      </w:pPr>
      <w:r>
        <w:rPr>
          <w:b/>
          <w:bCs/>
        </w:rPr>
        <w:lastRenderedPageBreak/>
        <w:t xml:space="preserve">Protect high-balance customers first. </w:t>
      </w:r>
      <w:r>
        <w:t>Give customers above EUR 127,644 a dedicated service and retention offers; a saved high-value customer is worth far more than an average one.</w:t>
      </w:r>
    </w:p>
    <w:p w14:paraId="25788921" w14:textId="77777777" w:rsidR="00756EEB" w:rsidRDefault="00000000">
      <w:pPr>
        <w:pStyle w:val="ListParagraph"/>
        <w:numPr>
          <w:ilvl w:val="0"/>
          <w:numId w:val="2"/>
        </w:numPr>
        <w:spacing w:after="100"/>
      </w:pPr>
      <w:r>
        <w:rPr>
          <w:b/>
          <w:bCs/>
        </w:rPr>
        <w:t xml:space="preserve">Look into the gender gap. </w:t>
      </w:r>
      <w:r>
        <w:t>Women churn 8 to 10 points more than men in every country; review whether products, communication or service are meeting their needs.</w:t>
      </w:r>
    </w:p>
    <w:p w14:paraId="1C31757B" w14:textId="77777777" w:rsidR="00756EEB" w:rsidRDefault="00000000">
      <w:pPr>
        <w:pStyle w:val="ListParagraph"/>
        <w:numPr>
          <w:ilvl w:val="0"/>
          <w:numId w:val="2"/>
        </w:numPr>
        <w:spacing w:after="100"/>
      </w:pPr>
      <w:r>
        <w:rPr>
          <w:b/>
          <w:bCs/>
        </w:rPr>
        <w:t xml:space="preserve">De-prioritise credit score, tenure and salary targeting. </w:t>
      </w:r>
      <w:r>
        <w:t>They do not separate churners from stayers, so marketing money is better spent on the segments above.</w:t>
      </w:r>
    </w:p>
    <w:p w14:paraId="3074B5E5" w14:textId="77777777" w:rsidR="00756EEB" w:rsidRDefault="00000000">
      <w:pPr>
        <w:pStyle w:val="Heading1"/>
        <w:keepNext/>
      </w:pPr>
      <w:r>
        <w:rPr>
          <w:color w:val="1F3A5F"/>
        </w:rPr>
        <w:t>8. Limitations</w:t>
      </w:r>
    </w:p>
    <w:p w14:paraId="0872CD3D" w14:textId="77777777" w:rsidR="00756EEB" w:rsidRDefault="00000000">
      <w:pPr>
        <w:pStyle w:val="ListParagraph"/>
        <w:numPr>
          <w:ilvl w:val="0"/>
          <w:numId w:val="2"/>
        </w:numPr>
        <w:spacing w:after="70"/>
      </w:pPr>
      <w:r>
        <w:t>The data is a single snapshot with no dates of exit, so we cannot study how churn develops over time or the reason each customer left.</w:t>
      </w:r>
    </w:p>
    <w:p w14:paraId="373855BB" w14:textId="77777777" w:rsidR="00756EEB" w:rsidRDefault="00000000">
      <w:pPr>
        <w:pStyle w:val="ListParagraph"/>
        <w:numPr>
          <w:ilvl w:val="0"/>
          <w:numId w:val="2"/>
        </w:numPr>
        <w:spacing w:after="70"/>
      </w:pPr>
      <w:r>
        <w:t>The findings show association, not proof of cause. For example, we know older customers leave more, but not why.</w:t>
      </w:r>
    </w:p>
    <w:p w14:paraId="073DC619" w14:textId="77777777" w:rsidR="00756EEB" w:rsidRDefault="00000000">
      <w:pPr>
        <w:pStyle w:val="ListParagraph"/>
        <w:numPr>
          <w:ilvl w:val="0"/>
          <w:numId w:val="2"/>
        </w:numPr>
        <w:spacing w:after="70"/>
      </w:pPr>
      <w:r>
        <w:t>Balance is used as a proxy for revenue; real profit per customer (fees, interest margin, product income) is not available.</w:t>
      </w:r>
    </w:p>
    <w:p w14:paraId="67E5546B" w14:textId="77777777" w:rsidR="00756EEB" w:rsidRDefault="00000000">
      <w:pPr>
        <w:pStyle w:val="ListParagraph"/>
        <w:numPr>
          <w:ilvl w:val="0"/>
          <w:numId w:val="2"/>
        </w:numPr>
        <w:spacing w:after="70"/>
      </w:pPr>
      <w:r>
        <w:t>Segment cut-offs (age, credit, tenure, balance) are reasonable choices but other cut-offs could change the exact percentages slightly.</w:t>
      </w:r>
    </w:p>
    <w:p w14:paraId="63E47492" w14:textId="77777777" w:rsidR="00756EEB" w:rsidRDefault="00000000">
      <w:pPr>
        <w:pStyle w:val="ListParagraph"/>
        <w:numPr>
          <w:ilvl w:val="0"/>
          <w:numId w:val="2"/>
        </w:numPr>
        <w:spacing w:after="70"/>
      </w:pPr>
      <w:r>
        <w:t xml:space="preserve">Groups with few customers (3-4 products: 326 customers; 60+ age group: 464) give </w:t>
      </w:r>
      <w:proofErr w:type="gramStart"/>
      <w:r>
        <w:t>less</w:t>
      </w:r>
      <w:proofErr w:type="gramEnd"/>
      <w:r>
        <w:t xml:space="preserve"> stable percentages.</w:t>
      </w:r>
    </w:p>
    <w:p w14:paraId="4E58EDDD" w14:textId="77777777" w:rsidR="00756EEB" w:rsidRDefault="00000000">
      <w:pPr>
        <w:pStyle w:val="ListParagraph"/>
        <w:numPr>
          <w:ilvl w:val="0"/>
          <w:numId w:val="2"/>
        </w:numPr>
        <w:spacing w:after="70"/>
      </w:pPr>
      <w:r>
        <w:t>No predictive model was built; the work is descriptive and segment based.</w:t>
      </w:r>
    </w:p>
    <w:p w14:paraId="44AA158C" w14:textId="77777777" w:rsidR="00756EEB" w:rsidRDefault="00000000">
      <w:pPr>
        <w:pStyle w:val="Heading1"/>
        <w:keepNext/>
      </w:pPr>
      <w:r>
        <w:rPr>
          <w:color w:val="1F3A5F"/>
        </w:rPr>
        <w:t>9. Conclusion</w:t>
      </w:r>
    </w:p>
    <w:p w14:paraId="4C0962AB" w14:textId="77777777" w:rsidR="00756EEB" w:rsidRDefault="00000000">
      <w:pPr>
        <w:spacing w:after="120" w:line="276" w:lineRule="auto"/>
      </w:pPr>
      <w:r>
        <w:t xml:space="preserve">Churn at this bank is not random. One in five customers leaves, but the loss is concentrated in identifiable groups: German customers, customers aged 46-60, women, inactive members, single-product customers and the unusual group holding 3-4 products. Together with high-balance customers, who carry EUR 88.7 million of the EUR 185.6 million lost, these groups give the bank a clear order of priority for retention spending. Credit score, tenure and salary do not explain churn, so broad campaigns based on them would be inefficient. The accompanying </w:t>
      </w:r>
      <w:proofErr w:type="spellStart"/>
      <w:r>
        <w:t>Streamlit</w:t>
      </w:r>
      <w:proofErr w:type="spellEnd"/>
      <w:r>
        <w:t xml:space="preserve"> dashboard lets decision-makers explore any segment and see the churn rate and balance at risk update live.</w:t>
      </w:r>
    </w:p>
    <w:sectPr w:rsidR="00756EEB">
      <w:footerReference w:type="default" r:id="rId1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1EF87" w14:textId="77777777" w:rsidR="00980339" w:rsidRDefault="00980339">
      <w:r>
        <w:separator/>
      </w:r>
    </w:p>
  </w:endnote>
  <w:endnote w:type="continuationSeparator" w:id="0">
    <w:p w14:paraId="51A7E449" w14:textId="77777777" w:rsidR="00980339" w:rsidRDefault="00980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D7AC" w14:textId="77777777" w:rsidR="00756EEB" w:rsidRDefault="00000000">
    <w:pPr>
      <w:jc w:val="center"/>
    </w:pPr>
    <w:r>
      <w:rPr>
        <w:color w:val="777777"/>
        <w:sz w:val="16"/>
        <w:szCs w:val="16"/>
      </w:rPr>
      <w:t xml:space="preserve">Churn Analytics - European Banking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A86B8B">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A0C6C" w14:textId="77777777" w:rsidR="00980339" w:rsidRDefault="00980339">
      <w:r>
        <w:separator/>
      </w:r>
    </w:p>
  </w:footnote>
  <w:footnote w:type="continuationSeparator" w:id="0">
    <w:p w14:paraId="47EDDA44" w14:textId="77777777" w:rsidR="00980339" w:rsidRDefault="009803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B7F22"/>
    <w:multiLevelType w:val="hybridMultilevel"/>
    <w:tmpl w:val="212046CA"/>
    <w:lvl w:ilvl="0" w:tplc="11924E22">
      <w:start w:val="1"/>
      <w:numFmt w:val="bullet"/>
      <w:lvlText w:val="•"/>
      <w:lvlJc w:val="left"/>
      <w:pPr>
        <w:ind w:left="540" w:hanging="270"/>
      </w:pPr>
    </w:lvl>
    <w:lvl w:ilvl="1" w:tplc="EBE08328">
      <w:numFmt w:val="decimal"/>
      <w:lvlText w:val=""/>
      <w:lvlJc w:val="left"/>
    </w:lvl>
    <w:lvl w:ilvl="2" w:tplc="0D221384">
      <w:numFmt w:val="decimal"/>
      <w:lvlText w:val=""/>
      <w:lvlJc w:val="left"/>
    </w:lvl>
    <w:lvl w:ilvl="3" w:tplc="12D6E6A4">
      <w:numFmt w:val="decimal"/>
      <w:lvlText w:val=""/>
      <w:lvlJc w:val="left"/>
    </w:lvl>
    <w:lvl w:ilvl="4" w:tplc="CF884C52">
      <w:numFmt w:val="decimal"/>
      <w:lvlText w:val=""/>
      <w:lvlJc w:val="left"/>
    </w:lvl>
    <w:lvl w:ilvl="5" w:tplc="517EE636">
      <w:numFmt w:val="decimal"/>
      <w:lvlText w:val=""/>
      <w:lvlJc w:val="left"/>
    </w:lvl>
    <w:lvl w:ilvl="6" w:tplc="2800E23E">
      <w:numFmt w:val="decimal"/>
      <w:lvlText w:val=""/>
      <w:lvlJc w:val="left"/>
    </w:lvl>
    <w:lvl w:ilvl="7" w:tplc="12083D9A">
      <w:numFmt w:val="decimal"/>
      <w:lvlText w:val=""/>
      <w:lvlJc w:val="left"/>
    </w:lvl>
    <w:lvl w:ilvl="8" w:tplc="BBC4DE56">
      <w:numFmt w:val="decimal"/>
      <w:lvlText w:val=""/>
      <w:lvlJc w:val="left"/>
    </w:lvl>
  </w:abstractNum>
  <w:abstractNum w:abstractNumId="1" w15:restartNumberingAfterBreak="0">
    <w:nsid w:val="7D1A3223"/>
    <w:multiLevelType w:val="hybridMultilevel"/>
    <w:tmpl w:val="E8C8F0D6"/>
    <w:lvl w:ilvl="0" w:tplc="E59E7D4E">
      <w:start w:val="1"/>
      <w:numFmt w:val="bullet"/>
      <w:lvlText w:val="●"/>
      <w:lvlJc w:val="left"/>
      <w:pPr>
        <w:ind w:left="720" w:hanging="360"/>
      </w:pPr>
    </w:lvl>
    <w:lvl w:ilvl="1" w:tplc="8C727544">
      <w:start w:val="1"/>
      <w:numFmt w:val="bullet"/>
      <w:lvlText w:val="○"/>
      <w:lvlJc w:val="left"/>
      <w:pPr>
        <w:ind w:left="1440" w:hanging="360"/>
      </w:pPr>
    </w:lvl>
    <w:lvl w:ilvl="2" w:tplc="399C888C">
      <w:start w:val="1"/>
      <w:numFmt w:val="bullet"/>
      <w:lvlText w:val="■"/>
      <w:lvlJc w:val="left"/>
      <w:pPr>
        <w:ind w:left="2160" w:hanging="360"/>
      </w:pPr>
    </w:lvl>
    <w:lvl w:ilvl="3" w:tplc="C6E496D0">
      <w:start w:val="1"/>
      <w:numFmt w:val="bullet"/>
      <w:lvlText w:val="●"/>
      <w:lvlJc w:val="left"/>
      <w:pPr>
        <w:ind w:left="2880" w:hanging="360"/>
      </w:pPr>
    </w:lvl>
    <w:lvl w:ilvl="4" w:tplc="225A4E5E">
      <w:start w:val="1"/>
      <w:numFmt w:val="bullet"/>
      <w:lvlText w:val="○"/>
      <w:lvlJc w:val="left"/>
      <w:pPr>
        <w:ind w:left="3600" w:hanging="360"/>
      </w:pPr>
    </w:lvl>
    <w:lvl w:ilvl="5" w:tplc="DEFC06AA">
      <w:start w:val="1"/>
      <w:numFmt w:val="bullet"/>
      <w:lvlText w:val="■"/>
      <w:lvlJc w:val="left"/>
      <w:pPr>
        <w:ind w:left="4320" w:hanging="360"/>
      </w:pPr>
    </w:lvl>
    <w:lvl w:ilvl="6" w:tplc="23827778">
      <w:start w:val="1"/>
      <w:numFmt w:val="bullet"/>
      <w:lvlText w:val="●"/>
      <w:lvlJc w:val="left"/>
      <w:pPr>
        <w:ind w:left="5040" w:hanging="360"/>
      </w:pPr>
    </w:lvl>
    <w:lvl w:ilvl="7" w:tplc="BB3EE212">
      <w:start w:val="1"/>
      <w:numFmt w:val="bullet"/>
      <w:lvlText w:val="●"/>
      <w:lvlJc w:val="left"/>
      <w:pPr>
        <w:ind w:left="5760" w:hanging="360"/>
      </w:pPr>
    </w:lvl>
    <w:lvl w:ilvl="8" w:tplc="7FCAF058">
      <w:start w:val="1"/>
      <w:numFmt w:val="bullet"/>
      <w:lvlText w:val="●"/>
      <w:lvlJc w:val="left"/>
      <w:pPr>
        <w:ind w:left="6480" w:hanging="360"/>
      </w:pPr>
    </w:lvl>
  </w:abstractNum>
  <w:num w:numId="1" w16cid:durableId="509681020">
    <w:abstractNumId w:val="1"/>
    <w:lvlOverride w:ilvl="0">
      <w:startOverride w:val="1"/>
    </w:lvlOverride>
  </w:num>
  <w:num w:numId="2" w16cid:durableId="1543784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EEB"/>
    <w:rsid w:val="006570AC"/>
    <w:rsid w:val="00756EEB"/>
    <w:rsid w:val="00980339"/>
    <w:rsid w:val="00A86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FAEC"/>
  <w15:docId w15:val="{18877A2A-8F8C-4A09-B67C-35BD446A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0"/>
      <w:szCs w:val="30"/>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1991</Words>
  <Characters>11352</Characters>
  <Application>Microsoft Office Word</Application>
  <DocSecurity>0</DocSecurity>
  <Lines>94</Lines>
  <Paragraphs>26</Paragraphs>
  <ScaleCrop>false</ScaleCrop>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&amp; Churn Pattern Analytics in European Banking</dc:title>
  <dc:creator>Churn Project</dc:creator>
  <cp:lastModifiedBy>Ramit Singh</cp:lastModifiedBy>
  <cp:revision>2</cp:revision>
  <dcterms:created xsi:type="dcterms:W3CDTF">2026-10-18T17:38:00Z</dcterms:created>
  <dcterms:modified xsi:type="dcterms:W3CDTF">2026-10-19T11:34:00Z</dcterms:modified>
</cp:coreProperties>
</file>