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2036" w14:textId="77777777" w:rsidR="008F032A" w:rsidRDefault="00000000">
      <w:pPr>
        <w:spacing w:after="60"/>
      </w:pPr>
      <w:r>
        <w:rPr>
          <w:rFonts w:ascii="Arial" w:eastAsia="Arial" w:hAnsi="Arial" w:cs="Arial"/>
          <w:b/>
          <w:bCs/>
          <w:color w:val="2E4E7E"/>
          <w:sz w:val="18"/>
          <w:szCs w:val="18"/>
        </w:rPr>
        <w:t>Original Investigation | Pediatric Oncology</w:t>
      </w:r>
    </w:p>
    <w:p w14:paraId="370C8C96" w14:textId="77777777" w:rsidR="008F032A" w:rsidRDefault="008F032A">
      <w:pPr>
        <w:pBdr>
          <w:bottom w:val="single" w:sz="6" w:space="1" w:color="2E4E7E"/>
        </w:pBdr>
        <w:spacing w:before="100" w:after="100"/>
      </w:pPr>
    </w:p>
    <w:p w14:paraId="777A2F94" w14:textId="77777777" w:rsidR="008F032A" w:rsidRDefault="00000000">
      <w:pPr>
        <w:spacing w:before="80" w:after="60"/>
      </w:pPr>
      <w:r>
        <w:rPr>
          <w:rFonts w:ascii="Arial" w:eastAsia="Arial" w:hAnsi="Arial" w:cs="Arial"/>
          <w:b/>
          <w:bCs/>
          <w:sz w:val="34"/>
          <w:szCs w:val="34"/>
        </w:rPr>
        <w:t>How Much More We Know About Pediatric Cancer</w:t>
      </w:r>
    </w:p>
    <w:p w14:paraId="25803FD9" w14:textId="77777777" w:rsidR="008F032A" w:rsidRDefault="00000000">
      <w:pPr>
        <w:spacing w:before="40" w:after="60"/>
      </w:pPr>
      <w:r>
        <w:rPr>
          <w:rFonts w:ascii="Arial" w:eastAsia="Arial" w:hAnsi="Arial" w:cs="Arial"/>
          <w:i/>
          <w:iCs/>
          <w:color w:val="555555"/>
          <w:sz w:val="20"/>
          <w:szCs w:val="20"/>
        </w:rPr>
        <w:t>A temporal analysis of the Pediatric Cancer Atlas: what a year-2000 version would have contained, and what the molecular era has added since</w:t>
      </w:r>
    </w:p>
    <w:p w14:paraId="441E1DB5" w14:textId="77777777" w:rsidR="008F032A" w:rsidRDefault="00000000">
      <w:pPr>
        <w:spacing w:before="60" w:after="60"/>
      </w:pPr>
      <w:r>
        <w:rPr>
          <w:rFonts w:ascii="Arial" w:eastAsia="Arial" w:hAnsi="Arial" w:cs="Arial"/>
          <w:color w:val="555555"/>
          <w:sz w:val="18"/>
          <w:szCs w:val="18"/>
        </w:rPr>
        <w:t>Drawn from the Pediatric Cancer Atlas (2026) | 104 Conditions · 11 Categories</w:t>
      </w:r>
    </w:p>
    <w:p w14:paraId="5266733B" w14:textId="542EC4B6" w:rsidR="008F032A" w:rsidRDefault="00000000">
      <w:pPr>
        <w:spacing w:before="60" w:after="200"/>
      </w:pPr>
      <w:r>
        <w:rPr>
          <w:rFonts w:ascii="Arial" w:eastAsia="Arial" w:hAnsi="Arial" w:cs="Arial"/>
          <w:i/>
          <w:iCs/>
          <w:sz w:val="20"/>
          <w:szCs w:val="20"/>
        </w:rPr>
        <w:t>Pediatric Moonshot</w:t>
      </w:r>
    </w:p>
    <w:p w14:paraId="3F5F8D67" w14:textId="77777777" w:rsidR="008F032A" w:rsidRDefault="00000000">
      <w:pPr>
        <w:spacing w:before="120" w:after="60"/>
      </w:pPr>
      <w:r>
        <w:rPr>
          <w:rFonts w:ascii="Arial" w:eastAsia="Arial" w:hAnsi="Arial" w:cs="Arial"/>
          <w:b/>
          <w:bCs/>
        </w:rPr>
        <w:t>Abstract</w:t>
      </w:r>
    </w:p>
    <w:p w14:paraId="4FC082A2" w14:textId="77777777" w:rsidR="008F032A" w:rsidRDefault="008F032A">
      <w:pPr>
        <w:pBdr>
          <w:bottom w:val="single" w:sz="6" w:space="1" w:color="2E4E7E"/>
        </w:pBdr>
        <w:spacing w:before="100" w:after="100"/>
      </w:pPr>
    </w:p>
    <w:p w14:paraId="27604F01" w14:textId="77777777" w:rsidR="008F032A" w:rsidRDefault="00000000">
      <w:pPr>
        <w:spacing w:before="60" w:after="20"/>
      </w:pPr>
      <w:r>
        <w:rPr>
          <w:rFonts w:ascii="Arial" w:eastAsia="Arial" w:hAnsi="Arial" w:cs="Arial"/>
          <w:b/>
          <w:bCs/>
          <w:color w:val="2E4E7E"/>
          <w:sz w:val="18"/>
          <w:szCs w:val="18"/>
        </w:rPr>
        <w:t>IMPORTANCE</w:t>
      </w:r>
    </w:p>
    <w:p w14:paraId="34C39E26" w14:textId="77777777" w:rsidR="008F032A" w:rsidRDefault="00000000">
      <w:pPr>
        <w:spacing w:before="20" w:after="60"/>
        <w:jc w:val="both"/>
      </w:pPr>
      <w:r>
        <w:t>Pediatric oncology entered the genomics era with something most other specialties lacked: a century of detailed morphological classification. Pathologists had been describing, naming, and distinguishing tumors since the 1800s. When molecular profiling arrived, it revealed that many morphologically unified entities were in fact biologically distinct diseases with different prognoses, drug targets, and patient populations. Understanding where and how that reclassification occurred is essential to building the data infrastructure required for rare pediatric tumor entities.</w:t>
      </w:r>
    </w:p>
    <w:p w14:paraId="4F96E7E7" w14:textId="77777777" w:rsidR="008F032A" w:rsidRDefault="00000000">
      <w:pPr>
        <w:spacing w:before="60" w:after="20"/>
      </w:pPr>
      <w:r>
        <w:rPr>
          <w:rFonts w:ascii="Arial" w:eastAsia="Arial" w:hAnsi="Arial" w:cs="Arial"/>
          <w:b/>
          <w:bCs/>
          <w:color w:val="2E4E7E"/>
          <w:sz w:val="18"/>
          <w:szCs w:val="18"/>
        </w:rPr>
        <w:t>OBJECTIVE</w:t>
      </w:r>
    </w:p>
    <w:p w14:paraId="6B4B696C" w14:textId="77777777" w:rsidR="008F032A" w:rsidRDefault="00000000">
      <w:pPr>
        <w:spacing w:before="20" w:after="60"/>
        <w:jc w:val="both"/>
      </w:pPr>
      <w:r>
        <w:t>To perform a temporal analysis of the Pediatric Cancer Atlas (2026), estimating which conditions were recognized before 2000, which have been molecularly redefined post-2000, and which represent entirely new diagnostic entities, and to characterize the implications for federated pediatric oncology data infrastructure.</w:t>
      </w:r>
    </w:p>
    <w:p w14:paraId="471852A3" w14:textId="77777777" w:rsidR="008F032A" w:rsidRDefault="00000000">
      <w:pPr>
        <w:spacing w:before="60" w:after="20"/>
      </w:pPr>
      <w:r>
        <w:rPr>
          <w:rFonts w:ascii="Arial" w:eastAsia="Arial" w:hAnsi="Arial" w:cs="Arial"/>
          <w:b/>
          <w:bCs/>
          <w:color w:val="2E4E7E"/>
          <w:sz w:val="18"/>
          <w:szCs w:val="18"/>
        </w:rPr>
        <w:t>DESIGN, SETTING, AND METHODS</w:t>
      </w:r>
    </w:p>
    <w:p w14:paraId="0B27218B" w14:textId="77777777" w:rsidR="008F032A" w:rsidRDefault="00000000">
      <w:pPr>
        <w:spacing w:before="20" w:after="60"/>
        <w:jc w:val="both"/>
      </w:pPr>
      <w:r>
        <w:t>Citation-year analysis of all 104 Pediatric Cancer Atlas entries (March 2026 version). Earliest foundational publication year per condition used as proxy for date of clinical recognition as a distinct entity. Classification into well-established, molecularly redefined, and entirely new reflects clinical and molecular distinctiveness in year 2000 versus 2026. Counts are approximate for conditions at the 1999/2000 boundary.</w:t>
      </w:r>
    </w:p>
    <w:p w14:paraId="773E7B4E" w14:textId="77777777" w:rsidR="008F032A" w:rsidRDefault="00000000">
      <w:pPr>
        <w:spacing w:before="60" w:after="20"/>
      </w:pPr>
      <w:r>
        <w:rPr>
          <w:rFonts w:ascii="Arial" w:eastAsia="Arial" w:hAnsi="Arial" w:cs="Arial"/>
          <w:b/>
          <w:bCs/>
          <w:color w:val="2E4E7E"/>
          <w:sz w:val="18"/>
          <w:szCs w:val="18"/>
        </w:rPr>
        <w:t>RESULTS</w:t>
      </w:r>
    </w:p>
    <w:p w14:paraId="330D46D0" w14:textId="77777777" w:rsidR="008F032A" w:rsidRDefault="00000000">
      <w:pPr>
        <w:spacing w:before="20" w:after="60"/>
        <w:jc w:val="both"/>
      </w:pPr>
      <w:r>
        <w:t>A year-2000 Pediatric Cancer Atlas would have contained approximately 80 of today's 104 conditions — a +30% growth over 25 years. Approximately 9 conditions are entirely new since 2000; approximately 15 were clinically known but molecularly redefined into distinct entities. New and redefined conditions cluster in CNS tumors (medulloblastoma subgroups, H3-mutant gliomas, ependymoma subtypes), rare sarcomas (CIC-rearranged, BCOR-CCNB3, MYOD1-mutant), and molecularly defined syndromes (DICER1, CMMRD). Approximately 30 current Atlas entries have fewer than 200 US cases per year; several have fewer than 25.</w:t>
      </w:r>
    </w:p>
    <w:p w14:paraId="1F626D8F" w14:textId="77777777" w:rsidR="008F032A" w:rsidRDefault="00000000">
      <w:pPr>
        <w:spacing w:before="60" w:after="20"/>
      </w:pPr>
      <w:r>
        <w:rPr>
          <w:rFonts w:ascii="Arial" w:eastAsia="Arial" w:hAnsi="Arial" w:cs="Arial"/>
          <w:b/>
          <w:bCs/>
          <w:color w:val="2E4E7E"/>
          <w:sz w:val="18"/>
          <w:szCs w:val="18"/>
        </w:rPr>
        <w:t>CONCLUSIONS AND RELEVANCE</w:t>
      </w:r>
    </w:p>
    <w:p w14:paraId="1E11D22E" w14:textId="77777777" w:rsidR="008F032A" w:rsidRDefault="00000000">
      <w:pPr>
        <w:spacing w:before="20" w:after="60"/>
        <w:jc w:val="both"/>
      </w:pPr>
      <w:r>
        <w:t xml:space="preserve">The +30% growth in pediatric oncology knowledge since 2000 reflects molecular stratification of existing morphological categories rather than discovery of fundamentally new tumor types. The resulting sub-entities are individually smaller and rarer than their parent categories — and therefore even harder to study without multi-institutional federation. The most lethal of these entities (H3K27M </w:t>
      </w:r>
      <w:r>
        <w:lastRenderedPageBreak/>
        <w:t>DIPG, CIC-rearranged sarcoma, MYOD1-mutant RMS) have fewer than 100 US cases per year. Federated AI infrastructure is the only viable path to evidence-based medicine for these patients.</w:t>
      </w:r>
    </w:p>
    <w:p w14:paraId="2CB8F046" w14:textId="77777777" w:rsidR="008F032A" w:rsidRDefault="008F032A">
      <w:pPr>
        <w:spacing w:before="60" w:after="60"/>
      </w:pPr>
    </w:p>
    <w:p w14:paraId="4DE684CC" w14:textId="77777777" w:rsidR="008F032A" w:rsidRDefault="00000000">
      <w:pPr>
        <w:spacing w:before="40" w:after="80"/>
      </w:pPr>
      <w:r>
        <w:rPr>
          <w:rFonts w:ascii="Arial" w:eastAsia="Arial" w:hAnsi="Arial" w:cs="Arial"/>
          <w:i/>
          <w:iCs/>
          <w:color w:val="555555"/>
          <w:sz w:val="17"/>
          <w:szCs w:val="17"/>
        </w:rPr>
        <w:t xml:space="preserve">Pediatric Moonshot | Pediatric Cancer Atlas 2026. </w:t>
      </w:r>
      <w:proofErr w:type="gramStart"/>
      <w:r>
        <w:rPr>
          <w:rFonts w:ascii="Arial" w:eastAsia="Arial" w:hAnsi="Arial" w:cs="Arial"/>
          <w:i/>
          <w:iCs/>
          <w:color w:val="555555"/>
          <w:sz w:val="17"/>
          <w:szCs w:val="17"/>
        </w:rPr>
        <w:t>doi:10.PM</w:t>
      </w:r>
      <w:proofErr w:type="gramEnd"/>
      <w:r>
        <w:rPr>
          <w:rFonts w:ascii="Arial" w:eastAsia="Arial" w:hAnsi="Arial" w:cs="Arial"/>
          <w:i/>
          <w:iCs/>
          <w:color w:val="555555"/>
          <w:sz w:val="17"/>
          <w:szCs w:val="17"/>
        </w:rPr>
        <w:t>/cancer-25yr.2026</w:t>
      </w:r>
    </w:p>
    <w:p w14:paraId="1F815802" w14:textId="77777777" w:rsidR="008F032A" w:rsidRDefault="008F032A">
      <w:pPr>
        <w:pBdr>
          <w:bottom w:val="single" w:sz="6" w:space="1" w:color="2E4E7E"/>
        </w:pBdr>
        <w:spacing w:before="100" w:after="100"/>
      </w:pPr>
    </w:p>
    <w:p w14:paraId="401A0CA8" w14:textId="77777777" w:rsidR="008F032A" w:rsidRDefault="008F0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032A" w14:paraId="273735D4" w14:textId="77777777">
        <w:tc>
          <w:tcPr>
            <w:tcW w:w="0" w:type="auto"/>
            <w:tcBorders>
              <w:top w:val="single" w:sz="8" w:space="0" w:color="2E4E7E"/>
              <w:left w:val="single" w:sz="8" w:space="0" w:color="2E4E7E"/>
              <w:bottom w:val="single" w:sz="8" w:space="0" w:color="2E4E7E"/>
              <w:right w:val="single" w:sz="8" w:space="0" w:color="2E4E7E"/>
            </w:tcBorders>
            <w:shd w:val="clear" w:color="auto" w:fill="EAF0F8"/>
            <w:tcMar>
              <w:top w:w="100" w:type="dxa"/>
              <w:left w:w="180" w:type="dxa"/>
              <w:bottom w:w="100" w:type="dxa"/>
              <w:right w:w="180" w:type="dxa"/>
            </w:tcMar>
          </w:tcPr>
          <w:p w14:paraId="42647142" w14:textId="77777777" w:rsidR="008F032A" w:rsidRDefault="00000000">
            <w:r>
              <w:rPr>
                <w:rFonts w:ascii="Arial" w:eastAsia="Arial" w:hAnsi="Arial" w:cs="Arial"/>
                <w:b/>
                <w:bCs/>
                <w:color w:val="2E4E7E"/>
                <w:sz w:val="20"/>
                <w:szCs w:val="20"/>
              </w:rPr>
              <w:t>Key Points</w:t>
            </w:r>
          </w:p>
          <w:p w14:paraId="2259BDDB" w14:textId="77777777" w:rsidR="008F032A" w:rsidRDefault="008F032A">
            <w:pPr>
              <w:spacing w:before="60" w:after="60"/>
            </w:pPr>
          </w:p>
          <w:p w14:paraId="67D53BF8" w14:textId="21055826" w:rsidR="008F032A" w:rsidRDefault="00000000">
            <w:r w:rsidRPr="00E43C48">
              <w:rPr>
                <w:rFonts w:ascii="Arial" w:eastAsia="Arial" w:hAnsi="Arial" w:cs="Arial"/>
                <w:b/>
                <w:bCs/>
              </w:rPr>
              <w:t xml:space="preserve">Question </w:t>
            </w:r>
            <w:r>
              <w:t>How much has pediatric oncology knowledge grown since 2000, and what drove that growth?</w:t>
            </w:r>
          </w:p>
          <w:p w14:paraId="7A6A88E2" w14:textId="77777777" w:rsidR="008F032A" w:rsidRDefault="008F032A">
            <w:pPr>
              <w:spacing w:before="60" w:after="60"/>
            </w:pPr>
          </w:p>
          <w:p w14:paraId="6412469A" w14:textId="22121EA0" w:rsidR="008F032A" w:rsidRDefault="00000000">
            <w:r w:rsidRPr="00E43C48">
              <w:rPr>
                <w:rFonts w:ascii="Arial" w:eastAsia="Arial" w:hAnsi="Arial" w:cs="Arial"/>
                <w:b/>
                <w:bCs/>
              </w:rPr>
              <w:t xml:space="preserve">Findings </w:t>
            </w:r>
            <w:r>
              <w:t>The Pediatric Cancer Atlas grew by +30% between 2000 and 2026 — from approximately 80 to 104 recognized conditions. Growth reflects molecular profiling that split existing tumor categories into distinct entities with different prognoses and drug targets. Roughly 24 conditions either did not exist as recognized entities in 2000 or have been so fundamentally redefined that their year-2000 precursors bear little clinical resemblance to what is treated today.</w:t>
            </w:r>
          </w:p>
          <w:p w14:paraId="2C2B6F91" w14:textId="77777777" w:rsidR="008F032A" w:rsidRDefault="008F032A">
            <w:pPr>
              <w:spacing w:before="60" w:after="60"/>
            </w:pPr>
          </w:p>
          <w:p w14:paraId="1963DD8D" w14:textId="2C2DAD9A" w:rsidR="008F032A" w:rsidRDefault="00000000">
            <w:r w:rsidRPr="00E43C48">
              <w:rPr>
                <w:rFonts w:ascii="Arial" w:eastAsia="Arial" w:hAnsi="Arial" w:cs="Arial"/>
                <w:b/>
                <w:bCs/>
              </w:rPr>
              <w:t xml:space="preserve">Meaning </w:t>
            </w:r>
            <w:r>
              <w:t xml:space="preserve">The newly characterized entities include some of the most lethal tumors in the atlas — H3K27M DIPG, CIC-rearranged sarcoma, MYOD1-mutant spindle cell RMS — each with fewer than 100 US cases per year. Federated </w:t>
            </w:r>
            <w:r w:rsidR="00E43C48">
              <w:t xml:space="preserve">privacy-preserving </w:t>
            </w:r>
            <w:r>
              <w:t>AI is not a convenience for these patients; it is the only viable path to evidence-based medicine.</w:t>
            </w:r>
          </w:p>
        </w:tc>
      </w:tr>
    </w:tbl>
    <w:p w14:paraId="0C18C40F" w14:textId="77777777" w:rsidR="008F032A" w:rsidRDefault="008F032A">
      <w:pPr>
        <w:spacing w:before="60" w:after="60"/>
      </w:pPr>
    </w:p>
    <w:p w14:paraId="2D263636" w14:textId="77777777" w:rsidR="008F032A" w:rsidRDefault="00000000">
      <w:pPr>
        <w:pStyle w:val="Heading1"/>
        <w:spacing w:before="240"/>
      </w:pPr>
      <w:r>
        <w:rPr>
          <w:sz w:val="24"/>
          <w:szCs w:val="24"/>
        </w:rPr>
        <w:t>The Molecular Era in Pediatric Oncology</w:t>
      </w:r>
    </w:p>
    <w:p w14:paraId="2DFA8963" w14:textId="77777777" w:rsidR="008F032A" w:rsidRDefault="008F0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032A" w14:paraId="1B5022BC" w14:textId="77777777">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7F7577A6" w14:textId="77777777" w:rsidR="008F032A" w:rsidRDefault="00000000">
            <w:pPr>
              <w:jc w:val="center"/>
            </w:pPr>
            <w:r>
              <w:rPr>
                <w:rFonts w:ascii="Arial" w:eastAsia="Arial" w:hAnsi="Arial" w:cs="Arial"/>
                <w:b/>
                <w:bCs/>
                <w:color w:val="2E4E7E"/>
                <w:sz w:val="52"/>
                <w:szCs w:val="52"/>
              </w:rPr>
              <w:t>104</w:t>
            </w:r>
          </w:p>
          <w:p w14:paraId="587C0F98" w14:textId="77777777" w:rsidR="008F032A" w:rsidRDefault="00000000">
            <w:pPr>
              <w:jc w:val="center"/>
            </w:pPr>
            <w:r>
              <w:rPr>
                <w:rFonts w:ascii="Arial" w:eastAsia="Arial" w:hAnsi="Arial" w:cs="Arial"/>
                <w:color w:val="555555"/>
                <w:sz w:val="18"/>
                <w:szCs w:val="18"/>
              </w:rPr>
              <w:t>Conditions today (March 2026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2A6F1076" w14:textId="77777777" w:rsidR="008F032A" w:rsidRDefault="00000000">
            <w:pPr>
              <w:jc w:val="center"/>
            </w:pPr>
            <w:r>
              <w:rPr>
                <w:rFonts w:ascii="Arial" w:eastAsia="Arial" w:hAnsi="Arial" w:cs="Arial"/>
                <w:b/>
                <w:bCs/>
                <w:color w:val="2E4E7E"/>
                <w:sz w:val="52"/>
                <w:szCs w:val="52"/>
              </w:rPr>
              <w:t>~80</w:t>
            </w:r>
          </w:p>
          <w:p w14:paraId="01D75B55" w14:textId="77777777" w:rsidR="008F032A" w:rsidRDefault="00000000">
            <w:pPr>
              <w:jc w:val="center"/>
            </w:pPr>
            <w:r>
              <w:rPr>
                <w:rFonts w:ascii="Arial" w:eastAsia="Arial" w:hAnsi="Arial" w:cs="Arial"/>
                <w:color w:val="555555"/>
                <w:sz w:val="18"/>
                <w:szCs w:val="18"/>
              </w:rPr>
              <w:t>Estimated in 2000 (year-2000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3DD784E6" w14:textId="77777777" w:rsidR="008F032A" w:rsidRDefault="00000000">
            <w:pPr>
              <w:jc w:val="center"/>
            </w:pPr>
            <w:r>
              <w:rPr>
                <w:rFonts w:ascii="Arial" w:eastAsia="Arial" w:hAnsi="Arial" w:cs="Arial"/>
                <w:b/>
                <w:bCs/>
                <w:color w:val="2E4E7E"/>
                <w:sz w:val="52"/>
                <w:szCs w:val="52"/>
              </w:rPr>
              <w:t>~24</w:t>
            </w:r>
          </w:p>
          <w:p w14:paraId="10124E2A" w14:textId="77777777" w:rsidR="008F032A" w:rsidRDefault="00000000">
            <w:pPr>
              <w:jc w:val="center"/>
            </w:pPr>
            <w:r>
              <w:rPr>
                <w:rFonts w:ascii="Arial" w:eastAsia="Arial" w:hAnsi="Arial" w:cs="Arial"/>
                <w:color w:val="555555"/>
                <w:sz w:val="18"/>
                <w:szCs w:val="18"/>
              </w:rPr>
              <w:t>New since 2000 (conditions)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294D6D3D" w14:textId="77777777" w:rsidR="008F032A" w:rsidRDefault="00000000">
            <w:pPr>
              <w:jc w:val="center"/>
            </w:pPr>
            <w:r>
              <w:rPr>
                <w:rFonts w:ascii="Arial" w:eastAsia="Arial" w:hAnsi="Arial" w:cs="Arial"/>
                <w:b/>
                <w:bCs/>
                <w:color w:val="2E4E7E"/>
                <w:sz w:val="52"/>
                <w:szCs w:val="52"/>
              </w:rPr>
              <w:t>+30%</w:t>
            </w:r>
          </w:p>
          <w:p w14:paraId="1A6477AF" w14:textId="77777777" w:rsidR="008F032A" w:rsidRDefault="00000000">
            <w:pPr>
              <w:jc w:val="center"/>
            </w:pPr>
            <w:r>
              <w:rPr>
                <w:rFonts w:ascii="Arial" w:eastAsia="Arial" w:hAnsi="Arial" w:cs="Arial"/>
                <w:color w:val="555555"/>
                <w:sz w:val="18"/>
                <w:szCs w:val="18"/>
              </w:rPr>
              <w:t>Knowledge growth in 25 years</w:t>
            </w:r>
          </w:p>
        </w:tc>
      </w:tr>
    </w:tbl>
    <w:p w14:paraId="6C513593" w14:textId="77777777" w:rsidR="008F032A" w:rsidRDefault="008F032A">
      <w:pPr>
        <w:spacing w:before="60" w:after="60"/>
      </w:pPr>
    </w:p>
    <w:p w14:paraId="028139D9" w14:textId="77777777" w:rsidR="008F032A" w:rsidRDefault="00000000">
      <w:pPr>
        <w:spacing w:before="60" w:after="80"/>
        <w:jc w:val="both"/>
      </w:pPr>
      <w:r>
        <w:t>The Pediatric Cancer Atlas grew by +30% since 2000 — from approximately 80 recognized conditions to 104 today. That growth reflects not inflation, but genuine scientific progress: molecular profiling that split existing tumor categories into distinct entities with different prognoses, drug targets, and patient populations. Roughly 24 conditions in the current Atlas either did not exist as recognized entities in 2000, or have been so fundamentally redefined by molecular characterization that their year-2000 precursors bear little clinical resemblance to what we treat today.</w:t>
      </w:r>
    </w:p>
    <w:p w14:paraId="3294ED9C" w14:textId="77777777" w:rsidR="008F032A" w:rsidRDefault="00000000">
      <w:pPr>
        <w:spacing w:before="60" w:after="80"/>
        <w:jc w:val="both"/>
      </w:pPr>
      <w:r>
        <w:lastRenderedPageBreak/>
        <w:t>Why does oncology's growth look different from other specialties? Pediatric oncology entered the genomics era with something most fields lacked: a century of detailed morphological classification. Pathologists had been describing, naming, and distinguishing tumors since the 1800s — Burkitt lymphoma (1958), Ewing sarcoma (1921), Wilms tumor (1899), neuroblastoma (1864). The clinical entities were already largely separated before the molecular era began. When genomics arrived, it refined and stratified existing categories rather than creating fundamentally new ones. What molecular classification revealed was that the morphological categories — while clinically useful — were hiding significant biological heterogeneity. Tumors that looked the same under the microscope turned out to have different drivers, different drug sensitivities, and different natural histories. The genomic era didn't replace the pathologist's vocabulary; it layered a molecular dimension on top of it, revealing that many single entities were in fact several.</w:t>
      </w:r>
    </w:p>
    <w:p w14:paraId="166C40DC" w14:textId="77777777" w:rsidR="008F032A" w:rsidRDefault="00000000">
      <w:pPr>
        <w:pStyle w:val="Heading1"/>
        <w:spacing w:before="240"/>
      </w:pPr>
      <w:r>
        <w:rPr>
          <w:sz w:val="24"/>
          <w:szCs w:val="24"/>
        </w:rPr>
        <w:t>Three Categories of Change</w:t>
      </w:r>
    </w:p>
    <w:p w14:paraId="5200F177" w14:textId="77777777" w:rsidR="008F032A" w:rsidRDefault="008F03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060"/>
      </w:tblGrid>
      <w:tr w:rsidR="008F032A" w14:paraId="3A6EABDC" w14:textId="77777777">
        <w:tc>
          <w:tcPr>
            <w:tcW w:w="24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093C4F41" w14:textId="77777777" w:rsidR="008F032A" w:rsidRDefault="00000000">
            <w:r>
              <w:rPr>
                <w:rFonts w:ascii="Arial" w:eastAsia="Arial" w:hAnsi="Arial" w:cs="Arial"/>
                <w:b/>
                <w:bCs/>
                <w:color w:val="FFFFFF"/>
                <w:sz w:val="17"/>
                <w:szCs w:val="17"/>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69B92F1A" w14:textId="77777777" w:rsidR="008F032A" w:rsidRDefault="00000000">
            <w:r>
              <w:rPr>
                <w:rFonts w:ascii="Arial" w:eastAsia="Arial" w:hAnsi="Arial" w:cs="Arial"/>
                <w:b/>
                <w:bCs/>
                <w:color w:val="FFFFFF"/>
                <w:sz w:val="17"/>
                <w:szCs w:val="17"/>
              </w:rPr>
              <w:t>Count</w:t>
            </w:r>
          </w:p>
        </w:tc>
        <w:tc>
          <w:tcPr>
            <w:tcW w:w="606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0050E505" w14:textId="77777777" w:rsidR="008F032A" w:rsidRDefault="00000000">
            <w:r>
              <w:rPr>
                <w:rFonts w:ascii="Arial" w:eastAsia="Arial" w:hAnsi="Arial" w:cs="Arial"/>
                <w:b/>
                <w:bCs/>
                <w:color w:val="FFFFFF"/>
                <w:sz w:val="17"/>
                <w:szCs w:val="17"/>
              </w:rPr>
              <w:t>Description</w:t>
            </w:r>
          </w:p>
        </w:tc>
      </w:tr>
      <w:tr w:rsidR="008F032A" w14:paraId="61E700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2C3F5DC" w14:textId="77777777" w:rsidR="008F032A" w:rsidRDefault="00000000">
            <w:r>
              <w:rPr>
                <w:sz w:val="17"/>
                <w:szCs w:val="17"/>
              </w:rPr>
              <w:t>Well-established pre-2000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2BBC01A" w14:textId="77777777" w:rsidR="008F032A" w:rsidRDefault="00000000">
            <w:r>
              <w:rPr>
                <w:sz w:val="17"/>
                <w:szCs w:val="17"/>
              </w:rPr>
              <w:t>~80</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7C594B7" w14:textId="77777777" w:rsidR="008F032A" w:rsidRDefault="00000000">
            <w:r>
              <w:rPr>
                <w:sz w:val="17"/>
                <w:szCs w:val="17"/>
              </w:rPr>
              <w:t>Clinically and morphologically recognized before 2000. Includes nearly all solid tumors (Wilms, osteosarcoma, Ewing, neuroblastoma), leukemias/lymphomas, GCTs, and most CNS tumors. Many described in the 1800s.</w:t>
            </w:r>
          </w:p>
        </w:tc>
      </w:tr>
      <w:tr w:rsidR="008F032A" w14:paraId="2E2CDE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28ECA" w14:textId="77777777" w:rsidR="008F032A" w:rsidRDefault="00000000">
            <w:r>
              <w:rPr>
                <w:sz w:val="17"/>
                <w:szCs w:val="17"/>
              </w:rPr>
              <w:t>Molecularly redefined post-2000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CC3E8" w14:textId="77777777" w:rsidR="008F032A" w:rsidRDefault="00000000">
            <w:r>
              <w:rPr>
                <w:sz w:val="17"/>
                <w:szCs w:val="17"/>
              </w:rPr>
              <w:t>~15</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4841B" w14:textId="77777777" w:rsidR="008F032A" w:rsidRDefault="00000000">
            <w:r>
              <w:rPr>
                <w:sz w:val="17"/>
                <w:szCs w:val="17"/>
              </w:rPr>
              <w:t>Existed but split into distinct molecular entities: medulloblastoma subgroups (WNT/SHH/G3/G4 — 2012); ependymoma PFA/PFB/ZFTA subtypes (2015); intracranial ependymoma as WHO 2021 entities; LCH as MAP kinase neoplasm; SDH-deficient GIST distinct from KIT-mutant GIST.</w:t>
            </w:r>
          </w:p>
        </w:tc>
      </w:tr>
      <w:tr w:rsidR="008F032A" w14:paraId="7D556B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A501F5A" w14:textId="77777777" w:rsidR="008F032A" w:rsidRDefault="00000000">
            <w:r>
              <w:rPr>
                <w:sz w:val="17"/>
                <w:szCs w:val="17"/>
              </w:rPr>
              <w:t>Entirely new since 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ECF65C2" w14:textId="77777777" w:rsidR="008F032A" w:rsidRDefault="00000000">
            <w:r>
              <w:rPr>
                <w:sz w:val="17"/>
                <w:szCs w:val="17"/>
              </w:rPr>
              <w:t>~9</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57FA7CE" w14:textId="77777777" w:rsidR="008F032A" w:rsidRDefault="00000000">
            <w:r>
              <w:rPr>
                <w:sz w:val="17"/>
                <w:szCs w:val="17"/>
              </w:rPr>
              <w:t>Did not exist as recognized distinct conditions: DIPG/Diffuse Midline Glioma H3K27M (2012/2016); H3 G34-mutant glioma (2012/2021); CIC-rearranged sarcoma (2012/2020); BCOR-CCNB3 sarcoma (2012); NUT carcinoma (2003); DICER1 syndrome (2009); CMMRD-associated tumors (2006); RMS Spindle Cell/Sclerosing MYOD1 subtype (2012).</w:t>
            </w:r>
          </w:p>
        </w:tc>
      </w:tr>
    </w:tbl>
    <w:p w14:paraId="511CC72A" w14:textId="77777777" w:rsidR="008F032A" w:rsidRDefault="008F032A">
      <w:pPr>
        <w:spacing w:before="60" w:after="60"/>
      </w:pPr>
    </w:p>
    <w:p w14:paraId="581172A5" w14:textId="77777777" w:rsidR="008F032A" w:rsidRDefault="00000000">
      <w:pPr>
        <w:pStyle w:val="Heading1"/>
        <w:spacing w:before="240"/>
      </w:pPr>
      <w:r>
        <w:rPr>
          <w:sz w:val="24"/>
          <w:szCs w:val="24"/>
        </w:rPr>
        <w:t>The Molecular Reclassification Story</w:t>
      </w:r>
    </w:p>
    <w:p w14:paraId="3067FC5C" w14:textId="77777777" w:rsidR="008F032A" w:rsidRDefault="00000000">
      <w:pPr>
        <w:pStyle w:val="Heading2"/>
        <w:spacing w:before="160"/>
      </w:pPr>
      <w:r>
        <w:t>Medulloblastoma: One Tumor Becomes Four</w:t>
      </w:r>
    </w:p>
    <w:p w14:paraId="204915CA" w14:textId="77777777" w:rsidR="008F032A" w:rsidRDefault="00000000">
      <w:pPr>
        <w:spacing w:before="60" w:after="80"/>
        <w:jc w:val="both"/>
      </w:pPr>
      <w:r>
        <w:t xml:space="preserve">Medulloblastoma was one disease in 2000 — the most common malignant pediatric brain tumor, treated uniformly with craniospinal irradiation and platinum-based chemotherapy. By 2012, DNA methylation profiling had defined four molecular subgroups with profoundly different biology and outcomes: WNT-activated (~95% five-year survival, now being de-escalated in trials), SHH-activated (intermediate; </w:t>
      </w:r>
      <w:proofErr w:type="spellStart"/>
      <w:r>
        <w:t>sonidegib</w:t>
      </w:r>
      <w:proofErr w:type="spellEnd"/>
      <w:r>
        <w:t xml:space="preserve"> and </w:t>
      </w:r>
      <w:proofErr w:type="spellStart"/>
      <w:r>
        <w:t>vismodegib</w:t>
      </w:r>
      <w:proofErr w:type="spellEnd"/>
      <w:r>
        <w:t xml:space="preserve"> relevant for PTCH1-driven cases), Group 3 (MYC-amplified, ~50% survival, the target of the most intensive trials), and Group 4 (the most common, intermediate prognosis). A year-2000 Atlas would have had one medulloblastoma entry. Today's Atlas requires four clinical frameworks — and clinical trials are now subgroup-specific, with distinct biology, escalation/de-escalation strategies, and drug targets for each.</w:t>
      </w:r>
    </w:p>
    <w:p w14:paraId="2ED59AFC" w14:textId="77777777" w:rsidR="008F032A" w:rsidRDefault="00000000">
      <w:pPr>
        <w:pStyle w:val="Heading2"/>
        <w:spacing w:before="160"/>
      </w:pPr>
      <w:r>
        <w:t>Ependymoma: Location Was Not the Whole Story</w:t>
      </w:r>
    </w:p>
    <w:p w14:paraId="53A77CA7" w14:textId="77777777" w:rsidR="008F032A" w:rsidRDefault="00000000">
      <w:pPr>
        <w:spacing w:before="60" w:after="80"/>
        <w:jc w:val="both"/>
      </w:pPr>
      <w:r>
        <w:lastRenderedPageBreak/>
        <w:t xml:space="preserve">Posterior fossa ependymoma was one entity before 2015. The discovery that PFA and PFB methylation subtypes have dramatically different recurrence rates — PFA recurs in &gt;50% of cases while PFB carries an excellent prognosis — fundamentally changed post-resection surveillance and adjuvant treatment decisions. Supratentorial </w:t>
      </w:r>
      <w:proofErr w:type="gramStart"/>
      <w:r>
        <w:t>ZFTA::</w:t>
      </w:r>
      <w:proofErr w:type="gramEnd"/>
      <w:r>
        <w:t>RELA fusion ependymoma is now a separate WHO 2021 entity entirely, with a distinct molecular driver, different biology, and separate clinical trial enrollment criteria. In 2000, all of these would have been documented as 'intracranial ependymoma' and treated on the same protocol.</w:t>
      </w:r>
    </w:p>
    <w:p w14:paraId="5B65FAF8" w14:textId="77777777" w:rsidR="008F032A" w:rsidRDefault="00000000">
      <w:pPr>
        <w:pStyle w:val="Heading2"/>
        <w:spacing w:before="160"/>
      </w:pPr>
      <w:r>
        <w:t>H3-Mutant Gliomas: Entirely New Entities</w:t>
      </w:r>
    </w:p>
    <w:p w14:paraId="7259CFF0" w14:textId="77777777" w:rsidR="008F032A" w:rsidRDefault="00000000">
      <w:pPr>
        <w:spacing w:before="60" w:after="80"/>
        <w:jc w:val="both"/>
      </w:pPr>
      <w:r>
        <w:t>The H3K27M mutation in diffuse intrinsic pontine glioma (DIPG) was not discovered until 2012. Before that, DIPG was classified as a high-grade glioma — there was no molecular marker that distinguished it, enabled liquid biopsy monitoring, or identified druggable biology. The WHO formalized H3K27M-mutant diffuse midline glioma as a distinct entity in 2016. ONC201, the only drug showing activity in H3K27M-mutant DIPG, targets the dopamine receptor D2/D3 pathway — a pathway not identified as relevant until the mutation was known. The H3 G34-mutant hemispheric glioma entity followed in WHO 2021, a separate condition now being investigated with distinct immunotherapy approaches. Neither entity existed in the clinical vocabulary in 2000.</w:t>
      </w:r>
    </w:p>
    <w:p w14:paraId="7A8B0DD7" w14:textId="77777777" w:rsidR="008F032A" w:rsidRDefault="00000000">
      <w:pPr>
        <w:pStyle w:val="Heading2"/>
        <w:spacing w:before="160"/>
      </w:pPr>
      <w:r>
        <w:t>Rare Sarcomas: Molecularly Defined, Clinically Underserved</w:t>
      </w:r>
    </w:p>
    <w:p w14:paraId="439EE16C" w14:textId="77777777" w:rsidR="008F032A" w:rsidRDefault="00000000">
      <w:pPr>
        <w:spacing w:before="60" w:after="80"/>
        <w:jc w:val="both"/>
      </w:pPr>
      <w:r>
        <w:t>CIC-rearranged sarcoma was described in 2012 and formally separated from Ewing sarcoma in WHO 2020. There are an estimated 50 cases per year in the US. The five-year overall survival (~40%) is worse than Ewing sarcoma — but there are almost no clinical trials because there are not enough patients at any single center. The same applies to BCOR-CCNB3 sarcoma (&lt;25 cases/year), NUT carcinoma (~50 cases/year), and MYOD1-mutant spindle cell rhabdomyosarcoma. These are diseases where the molecular understanding is years ahead of the clinical evidence base — because the clinical evidence base requires a scale of data collection that does not yet exist within any single institution.</w:t>
      </w:r>
    </w:p>
    <w:p w14:paraId="413AD0DD" w14:textId="77777777" w:rsidR="008F032A" w:rsidRDefault="00000000">
      <w:pPr>
        <w:pStyle w:val="Heading1"/>
        <w:spacing w:before="240"/>
      </w:pPr>
      <w:r>
        <w:rPr>
          <w:sz w:val="24"/>
          <w:szCs w:val="24"/>
        </w:rPr>
        <w:t>The Therapy-Target Convergence</w:t>
      </w:r>
    </w:p>
    <w:p w14:paraId="086B85F4" w14:textId="77777777" w:rsidR="008F032A" w:rsidRDefault="00000000">
      <w:pPr>
        <w:spacing w:before="60" w:after="80"/>
        <w:jc w:val="both"/>
      </w:pPr>
      <w:r>
        <w:t>Several of the post-2000 cancer entities are defined not only molecularly but therapeutically. TRK fusion cancer (</w:t>
      </w:r>
      <w:proofErr w:type="spellStart"/>
      <w:r>
        <w:t>larotrectinib</w:t>
      </w:r>
      <w:proofErr w:type="spellEnd"/>
      <w:r>
        <w:t xml:space="preserve">, FDA 2018 tumor-agnostic approval) identified NTRK fusions as the target — with &gt;90% response rates in infantile fibrosarcoma and other NTRK-driven pediatric tumors. CMMRD-associated tumors (constitutional mismatch repair deficiency) respond to pembrolizumab (FDA 2017 tumor-agnostic approval) based on microsatellite instability — and would have been entirely </w:t>
      </w:r>
      <w:proofErr w:type="spellStart"/>
      <w:r>
        <w:t>untargetable</w:t>
      </w:r>
      <w:proofErr w:type="spellEnd"/>
      <w:r>
        <w:t xml:space="preserve"> in 2000 because the entity was not defined until 2006. DICER1 syndrome as a unified entity (2009) connects pleuropulmonary blastoma, ovarian Sertoli-Leydig tumors, thyroid carcinoma, and other seemingly unrelated tumors under a single germline driver — enabling germline screening that was impossible before the syndrome was recognized.</w:t>
      </w:r>
    </w:p>
    <w:p w14:paraId="1FFEA90D" w14:textId="77777777" w:rsidR="008F032A" w:rsidRDefault="00000000">
      <w:pPr>
        <w:spacing w:before="60" w:after="80"/>
        <w:jc w:val="both"/>
      </w:pPr>
      <w:r>
        <w:t>In each case, the entity was defined by the discovery of a molecular driver — and that driver immediately became the therapy target. Identifying these patients requires upfront molecular profiling; understanding which treatment works in which patient requires a registry infrastructure that can connect molecular profile to outcome data across institutions. Neither the profiling nor the registry infrastructure is uniformly available today.</w:t>
      </w:r>
    </w:p>
    <w:p w14:paraId="07A80F2C" w14:textId="77777777" w:rsidR="008F032A" w:rsidRDefault="00000000">
      <w:pPr>
        <w:pStyle w:val="Heading1"/>
        <w:spacing w:before="240"/>
      </w:pPr>
      <w:r>
        <w:rPr>
          <w:sz w:val="24"/>
          <w:szCs w:val="24"/>
        </w:rPr>
        <w:lastRenderedPageBreak/>
        <w:t>Increasing Precision, Decreasing Population</w:t>
      </w:r>
    </w:p>
    <w:p w14:paraId="555ACE58" w14:textId="77777777" w:rsidR="008F032A" w:rsidRDefault="00000000">
      <w:pPr>
        <w:spacing w:before="60" w:after="80"/>
        <w:jc w:val="both"/>
      </w:pPr>
      <w:r>
        <w:t xml:space="preserve">Pediatric cancer has 104 conditions, many of which are extremely rare. Roughly 30 of the Atlas entries have fewer than 200 US cases per year. Several — desmoplastic small round cell tumor (DSRCT), </w:t>
      </w:r>
      <w:proofErr w:type="spellStart"/>
      <w:r>
        <w:t>pancreatoblastoma</w:t>
      </w:r>
      <w:proofErr w:type="spellEnd"/>
      <w:r>
        <w:t>, undifferentiated embryonal sarcoma of the liver (UESL), alveolar soft part sarcoma (ASPS), clear cell sarcoma of soft tissue — have fewer than 25. These populations cannot generate evidence within any single institution.</w:t>
      </w:r>
    </w:p>
    <w:p w14:paraId="17AAEB20" w14:textId="77777777" w:rsidR="008F032A" w:rsidRDefault="00000000">
      <w:pPr>
        <w:spacing w:before="60" w:after="80"/>
        <w:jc w:val="both"/>
      </w:pPr>
      <w:r>
        <w:t>The critical insight is that molecular reclassification makes the rare rarer. Medulloblastoma was one disease with ~500 US cases per year; Group 3 medulloblastoma is now ~75 cases per year. Ependymoma was one disease; PFA posterior fossa ependymoma is now a subset. Each molecular split that improves biological precision simultaneously reduces the sample size available to study that precise entity. The more accurately we define pediatric cancer, the more we depend on federation to study it.</w:t>
      </w:r>
    </w:p>
    <w:p w14:paraId="130AE659" w14:textId="77777777" w:rsidR="008F032A" w:rsidRDefault="00000000">
      <w:pPr>
        <w:pStyle w:val="Heading1"/>
        <w:spacing w:before="240"/>
      </w:pPr>
      <w:r>
        <w:rPr>
          <w:sz w:val="24"/>
          <w:szCs w:val="24"/>
        </w:rPr>
        <w:t>What Remained the Same — and Why That Matters</w:t>
      </w:r>
    </w:p>
    <w:p w14:paraId="24338EE5" w14:textId="77777777" w:rsidR="008F032A" w:rsidRDefault="00000000">
      <w:pPr>
        <w:spacing w:before="60" w:after="80"/>
        <w:jc w:val="both"/>
      </w:pPr>
      <w:r>
        <w:t>The ~80 pre-2000 conditions are not static. Many have been profoundly transformed by molecular understanding even while their names remain unchanged. Neuroblastoma was described in 1864 — but MYCN amplification (established 1984), ALK mutations (2008), segmental chromosomal aberrations, and DNA ploidy have stratified it into risk groups with dramatically different treatment intensities. A child with low-risk neuroblastoma in 2026 may receive observation only; a child with MYCN-amplified, high-risk neuroblastoma receives immunotherapy (</w:t>
      </w:r>
      <w:proofErr w:type="spellStart"/>
      <w:r>
        <w:t>dinutuximab</w:t>
      </w:r>
      <w:proofErr w:type="spellEnd"/>
      <w:r>
        <w:t>, FDA 2015) as consolidation. The entity is the same; the clinical framework is completely different.</w:t>
      </w:r>
    </w:p>
    <w:p w14:paraId="68FDA142" w14:textId="77777777" w:rsidR="008F032A" w:rsidRDefault="00000000">
      <w:pPr>
        <w:spacing w:before="60" w:after="80"/>
        <w:jc w:val="both"/>
      </w:pPr>
      <w:r>
        <w:t>Osteosarcoma has resisted molecular stratification more than almost any other pediatric tumor — it remains treated with the MAP protocol (methotrexate, doxorubicin, cisplatin) established in the 1980s, and no targeted therapy has been approved despite decades of trials. This resistance to molecular subdivision is itself a clinical signal: the genomic complexity of osteosarcoma (extreme chromosomal instability, no recurrent single driver) means that the morphological entity is already the molecular entity. Understanding why some tumors have resisted the precision oncology revolution is as important as understanding why others have embraced it.</w:t>
      </w:r>
    </w:p>
    <w:p w14:paraId="65205869" w14:textId="77777777" w:rsidR="008F032A" w:rsidRDefault="00000000">
      <w:pPr>
        <w:pStyle w:val="Heading1"/>
        <w:spacing w:before="240"/>
      </w:pPr>
      <w:r>
        <w:rPr>
          <w:sz w:val="24"/>
          <w:szCs w:val="24"/>
        </w:rPr>
        <w:t>Implications for Pediatric Moonshot</w:t>
      </w:r>
    </w:p>
    <w:p w14:paraId="24ECA284" w14:textId="4BC4A43D" w:rsidR="008F032A" w:rsidRDefault="00000000">
      <w:pPr>
        <w:pStyle w:val="ListParagraph"/>
        <w:numPr>
          <w:ilvl w:val="0"/>
          <w:numId w:val="2"/>
        </w:numPr>
        <w:spacing w:before="40" w:after="60"/>
      </w:pPr>
      <w:r>
        <w:t xml:space="preserve">The +30% knowledge growth is concentrated in conditions where evidence generation requires federation by mathematical necessity. H3K27M DIPG has approximately 300 US cases per year. Group 3 medulloblastoma has approximately 75. CIC-rearranged sarcoma has approximately 50. BCOR-CCNB3 sarcoma has fewer than 25. At these population sizes, a center seeing 5–10 cases per year cannot answer fundamental questions about natural history, optimal treatment intensity, or predictive biomarkers. </w:t>
      </w:r>
      <w:r w:rsidR="00E43C48">
        <w:t>A</w:t>
      </w:r>
      <w:r>
        <w:t xml:space="preserve"> federated model across children's hospital cancer programs is the only viable path to evidence for these entities.</w:t>
      </w:r>
    </w:p>
    <w:p w14:paraId="25236AC9" w14:textId="77777777" w:rsidR="008F032A" w:rsidRDefault="00000000">
      <w:pPr>
        <w:pStyle w:val="ListParagraph"/>
        <w:numPr>
          <w:ilvl w:val="0"/>
          <w:numId w:val="2"/>
        </w:numPr>
        <w:spacing w:before="40" w:after="60"/>
      </w:pPr>
      <w:r>
        <w:t>Molecular profiling is generating new sub-entities faster than clinical trials can enroll patients. Multi-</w:t>
      </w:r>
      <w:proofErr w:type="spellStart"/>
      <w:r>
        <w:t>omic</w:t>
      </w:r>
      <w:proofErr w:type="spellEnd"/>
      <w:r>
        <w:t xml:space="preserve"> profiling of pediatric tumors — RNA sequencing, DNA methylation profiling, whole genome sequencing — is identifying new molecular clusters within existing morphological categories in real time. Each new entity requires a registry before it can have </w:t>
      </w:r>
      <w:r>
        <w:lastRenderedPageBreak/>
        <w:t xml:space="preserve">a trial. </w:t>
      </w:r>
      <w:proofErr w:type="spellStart"/>
      <w:r>
        <w:t>BevelCloud's</w:t>
      </w:r>
      <w:proofErr w:type="spellEnd"/>
      <w:r>
        <w:t xml:space="preserve"> federated infrastructure is designed to function as that registry layer: enabling natural history data collection across institutions before formal trial activation.</w:t>
      </w:r>
    </w:p>
    <w:p w14:paraId="5AC469C6" w14:textId="663B16B0" w:rsidR="008F032A" w:rsidRDefault="00000000">
      <w:pPr>
        <w:pStyle w:val="ListParagraph"/>
        <w:numPr>
          <w:ilvl w:val="0"/>
          <w:numId w:val="2"/>
        </w:numPr>
        <w:spacing w:before="40" w:after="60"/>
      </w:pPr>
      <w:r>
        <w:t xml:space="preserve">The therapy-target convergence in NTRK fusions, CMMRD, and DICER1 syndrome demonstrates that molecular identification directly enables treatment. An AI agent that flags NTRK fusion positivity, microsatellite instability, or DICER1 germline variants from pathology and genomic reports — and matches patients to available tumor-agnostic trials — can close the gap between molecular diagnosis and treatment access. This is the clinical trial matching use case for </w:t>
      </w:r>
      <w:r w:rsidR="00E43C48">
        <w:t>trial-precise AI agents</w:t>
      </w:r>
      <w:r>
        <w:t>.</w:t>
      </w:r>
    </w:p>
    <w:p w14:paraId="3C1AB915" w14:textId="17C37906" w:rsidR="008F032A" w:rsidRDefault="00000000">
      <w:pPr>
        <w:pStyle w:val="ListParagraph"/>
        <w:numPr>
          <w:ilvl w:val="0"/>
          <w:numId w:val="2"/>
        </w:numPr>
        <w:spacing w:before="40" w:after="60"/>
      </w:pPr>
      <w:r>
        <w:t>Osteosarcoma's resistance to molecular stratification is a reminder that not all pediatric cancers will yield to precision oncology in the same timeframe.</w:t>
      </w:r>
      <w:r w:rsidR="00E43C48">
        <w:t xml:space="preserve"> F</w:t>
      </w:r>
      <w:r>
        <w:t>ederated outcome data across osteosarcoma patients — connecting surgical margins, limb salvage decisions, metastatic patterns, and late recurrence — can generate the observational evidence base that is missing for a tumor that has defied targeted therapy for four decades.</w:t>
      </w:r>
    </w:p>
    <w:p w14:paraId="683B2089" w14:textId="77777777" w:rsidR="008F032A" w:rsidRDefault="00000000">
      <w:pPr>
        <w:pStyle w:val="Heading1"/>
        <w:spacing w:before="240"/>
      </w:pPr>
      <w:r>
        <w:rPr>
          <w:sz w:val="24"/>
          <w:szCs w:val="24"/>
        </w:rPr>
        <w:t>Conclusions</w:t>
      </w:r>
    </w:p>
    <w:p w14:paraId="3F5C13AB" w14:textId="77777777" w:rsidR="008F032A" w:rsidRDefault="00000000">
      <w:pPr>
        <w:spacing w:before="60" w:after="80"/>
        <w:jc w:val="both"/>
      </w:pPr>
      <w:r>
        <w:t>Pediatric oncology grew by +30% between 2000 and 2026 — from approximately 80 to 104 recognized conditions. Unlike cardiology's growth, which was driven by the discovery of entirely new disease mechanisms (ion channel genetics, Fontan complications), oncology's growth was driven primarily by molecular stratification of existing morphological categories. Medulloblastoma became four diseases. Ependymoma became six WHO entities. DIPG became H3K27M-mutant diffuse midline glioma with a specific drug target. The ontology expanded not because new tumors appeared, but because existing tumors were looked at with better tools.</w:t>
      </w:r>
    </w:p>
    <w:p w14:paraId="4A6B502D" w14:textId="3D4A85B3" w:rsidR="008F032A" w:rsidRDefault="00000000">
      <w:pPr>
        <w:spacing w:before="60" w:after="80"/>
        <w:jc w:val="both"/>
      </w:pPr>
      <w:r>
        <w:t xml:space="preserve">The consequence of that precision is that each sub-entity is smaller and rarer than the original category. The more accurately we define pediatric cancer, the more we depend on multi-institutional federation to study it. The Pediatric Cancer Atlas is the condition-level map of where that federation is most urgent — concentrated in the CNS tumor molecular subtypes, the rare sarcomas, and the molecularly defined syndromic conditions that together represent some of the most lethal and least-studied diseases in pediatric medicine. </w:t>
      </w:r>
      <w:r w:rsidR="00E43C48">
        <w:t>Federated</w:t>
      </w:r>
      <w:r>
        <w:t xml:space="preserve">, privacy-preserving </w:t>
      </w:r>
      <w:r w:rsidR="00E43C48">
        <w:t xml:space="preserve">AI is </w:t>
      </w:r>
      <w:r>
        <w:t>required to generate the evidence base these conditions — and these children — deserve.</w:t>
      </w:r>
    </w:p>
    <w:p w14:paraId="11EFAC03" w14:textId="77777777" w:rsidR="008F032A" w:rsidRDefault="008F032A">
      <w:pPr>
        <w:spacing w:before="60" w:after="60"/>
      </w:pPr>
    </w:p>
    <w:p w14:paraId="32A6A484" w14:textId="77777777" w:rsidR="008F032A" w:rsidRDefault="008F032A">
      <w:pPr>
        <w:pBdr>
          <w:bottom w:val="single" w:sz="6" w:space="1" w:color="2E4E7E"/>
        </w:pBdr>
        <w:spacing w:before="100" w:after="100"/>
      </w:pPr>
    </w:p>
    <w:p w14:paraId="3E0222FC" w14:textId="77777777" w:rsidR="008F032A" w:rsidRDefault="00000000">
      <w:pPr>
        <w:pStyle w:val="Heading2"/>
        <w:spacing w:before="160"/>
      </w:pPr>
      <w:r>
        <w:t>ARTICLE INFORMATION</w:t>
      </w:r>
    </w:p>
    <w:p w14:paraId="7304FEE0" w14:textId="77777777" w:rsidR="008F032A" w:rsidRDefault="00000000">
      <w:pPr>
        <w:spacing w:before="60" w:after="60"/>
      </w:pPr>
      <w:r>
        <w:rPr>
          <w:rFonts w:ascii="Arial" w:eastAsia="Arial" w:hAnsi="Arial" w:cs="Arial"/>
          <w:b/>
          <w:bCs/>
          <w:sz w:val="18"/>
          <w:szCs w:val="18"/>
        </w:rPr>
        <w:t xml:space="preserve">Published: </w:t>
      </w:r>
      <w:r>
        <w:t xml:space="preserve">2026. </w:t>
      </w:r>
      <w:proofErr w:type="gramStart"/>
      <w:r>
        <w:t>doi:10.PM</w:t>
      </w:r>
      <w:proofErr w:type="gramEnd"/>
      <w:r>
        <w:t>/cancer-25yr.2026</w:t>
      </w:r>
    </w:p>
    <w:p w14:paraId="21B2D5B5" w14:textId="633771F0" w:rsidR="008F032A" w:rsidRDefault="00000000">
      <w:pPr>
        <w:spacing w:before="60" w:after="60"/>
      </w:pPr>
      <w:r>
        <w:rPr>
          <w:rFonts w:ascii="Arial" w:eastAsia="Arial" w:hAnsi="Arial" w:cs="Arial"/>
          <w:b/>
          <w:bCs/>
          <w:sz w:val="18"/>
          <w:szCs w:val="18"/>
        </w:rPr>
        <w:t xml:space="preserve">Author Affiliation: </w:t>
      </w:r>
      <w:r>
        <w:t>Pediatric Moonshot</w:t>
      </w:r>
    </w:p>
    <w:p w14:paraId="64BD3DD2" w14:textId="4D34345B" w:rsidR="008F032A" w:rsidRDefault="00000000">
      <w:pPr>
        <w:spacing w:before="60" w:after="60"/>
      </w:pPr>
      <w:r>
        <w:rPr>
          <w:rFonts w:ascii="Arial" w:eastAsia="Arial" w:hAnsi="Arial" w:cs="Arial"/>
          <w:b/>
          <w:bCs/>
          <w:sz w:val="18"/>
          <w:szCs w:val="18"/>
        </w:rPr>
        <w:t xml:space="preserve">Corresponding Author: </w:t>
      </w:r>
      <w:r>
        <w:t xml:space="preserve">Pediatric Moonshot. </w:t>
      </w:r>
      <w:r w:rsidR="00E43C48">
        <w:t>x</w:t>
      </w:r>
      <w:r>
        <w:t>@pediatricmoonshot.org</w:t>
      </w:r>
    </w:p>
    <w:p w14:paraId="4AF97C8D" w14:textId="77777777" w:rsidR="008F032A" w:rsidRDefault="00000000">
      <w:pPr>
        <w:spacing w:before="60" w:after="60"/>
      </w:pPr>
      <w:r>
        <w:rPr>
          <w:rFonts w:ascii="Arial" w:eastAsia="Arial" w:hAnsi="Arial" w:cs="Arial"/>
          <w:b/>
          <w:bCs/>
          <w:sz w:val="18"/>
          <w:szCs w:val="18"/>
        </w:rPr>
        <w:t xml:space="preserve">Conflict of Interest Disclosures: </w:t>
      </w:r>
      <w:r>
        <w:t>None reported.</w:t>
      </w:r>
    </w:p>
    <w:p w14:paraId="602C1034" w14:textId="77777777" w:rsidR="008F032A" w:rsidRDefault="00000000">
      <w:pPr>
        <w:spacing w:before="60" w:after="60"/>
      </w:pPr>
      <w:r>
        <w:rPr>
          <w:rFonts w:ascii="Arial" w:eastAsia="Arial" w:hAnsi="Arial" w:cs="Arial"/>
          <w:b/>
          <w:bCs/>
          <w:sz w:val="18"/>
          <w:szCs w:val="18"/>
        </w:rPr>
        <w:t xml:space="preserve">Methodology: </w:t>
      </w:r>
      <w:r>
        <w:t xml:space="preserve">Citation-year analysis of all 104 Pediatric Cancer Atlas entries (March 2026 version). Earliest foundational publication year per condition used as proxy for date of clinical recognition as </w:t>
      </w:r>
      <w:r>
        <w:lastRenderedPageBreak/>
        <w:t>a distinct entity. Classification into well-established, molecularly redefined, and entirely new reflects clinical and molecular distinctiveness in year 2000 versus 2026.</w:t>
      </w:r>
    </w:p>
    <w:p w14:paraId="157672B6" w14:textId="77777777" w:rsidR="008F032A" w:rsidRDefault="008F032A">
      <w:pPr>
        <w:spacing w:before="60" w:after="60"/>
      </w:pPr>
    </w:p>
    <w:p w14:paraId="7C1B5F18" w14:textId="77777777" w:rsidR="008F032A" w:rsidRDefault="00000000">
      <w:pPr>
        <w:pStyle w:val="Heading2"/>
        <w:spacing w:before="160"/>
      </w:pPr>
      <w:r>
        <w:t>SOURCES</w:t>
      </w:r>
    </w:p>
    <w:p w14:paraId="411C17A7" w14:textId="77777777" w:rsidR="008F032A" w:rsidRDefault="00000000">
      <w:pPr>
        <w:spacing w:before="60" w:after="80"/>
        <w:jc w:val="both"/>
      </w:pPr>
      <w:r>
        <w:t xml:space="preserve">Pediatric Cancer Atlas 2026 · WHO Classification of </w:t>
      </w:r>
      <w:proofErr w:type="spellStart"/>
      <w:r>
        <w:t>Tumours</w:t>
      </w:r>
      <w:proofErr w:type="spellEnd"/>
      <w:r>
        <w:t xml:space="preserve"> (5th ed.) · COG · SIOPE · Published clinical and genomics literature</w:t>
      </w:r>
    </w:p>
    <w:sectPr w:rsidR="008F032A">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BF12" w14:textId="77777777" w:rsidR="00164797" w:rsidRDefault="00164797">
      <w:r>
        <w:separator/>
      </w:r>
    </w:p>
  </w:endnote>
  <w:endnote w:type="continuationSeparator" w:id="0">
    <w:p w14:paraId="6629A971" w14:textId="77777777" w:rsidR="00164797" w:rsidRDefault="00164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B120" w14:textId="77777777" w:rsidR="008F032A" w:rsidRDefault="00000000">
    <w:pPr>
      <w:pBdr>
        <w:top w:val="single" w:sz="4" w:space="1" w:color="CCCCCC"/>
      </w:pBdr>
      <w:spacing w:before="80"/>
      <w:jc w:val="center"/>
    </w:pPr>
    <w:r>
      <w:rPr>
        <w:rFonts w:ascii="Arial" w:eastAsia="Arial" w:hAnsi="Arial" w:cs="Arial"/>
        <w:color w:val="888888"/>
        <w:sz w:val="16"/>
        <w:szCs w:val="16"/>
      </w:rPr>
      <w:t>© 2026 Pediatric Moonshot. Open access under CC-BY-NC-ND.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3169" w14:textId="77777777" w:rsidR="00164797" w:rsidRDefault="00164797">
      <w:r>
        <w:separator/>
      </w:r>
    </w:p>
  </w:footnote>
  <w:footnote w:type="continuationSeparator" w:id="0">
    <w:p w14:paraId="490FC98B" w14:textId="77777777" w:rsidR="00164797" w:rsidRDefault="00164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A3D3" w14:textId="77777777" w:rsidR="008F032A" w:rsidRDefault="00000000">
    <w:pPr>
      <w:pBdr>
        <w:bottom w:val="single" w:sz="4" w:space="1" w:color="2E4E7E"/>
      </w:pBdr>
      <w:tabs>
        <w:tab w:val="right" w:pos="9360"/>
      </w:tabs>
      <w:spacing w:after="100"/>
    </w:pPr>
    <w:r>
      <w:rPr>
        <w:rFonts w:ascii="Arial" w:eastAsia="Arial" w:hAnsi="Arial" w:cs="Arial"/>
        <w:color w:val="2E4E7E"/>
        <w:sz w:val="16"/>
        <w:szCs w:val="16"/>
      </w:rPr>
      <w:t>Pediatric Moonshot | Pediatric Cancer Atlas 2026</w:t>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B322E7">
      <w:rPr>
        <w:rFonts w:ascii="Arial" w:eastAsia="Arial" w:hAnsi="Arial" w:cs="Arial"/>
        <w:noProof/>
        <w:color w:val="888888"/>
        <w:sz w:val="16"/>
        <w:szCs w:val="16"/>
      </w:rPr>
      <w:t>1</w:t>
    </w:r>
    <w:r>
      <w:rPr>
        <w:rFonts w:ascii="Arial" w:eastAsia="Arial" w:hAnsi="Arial" w:cs="Arial"/>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24C"/>
    <w:multiLevelType w:val="hybridMultilevel"/>
    <w:tmpl w:val="A99666DC"/>
    <w:lvl w:ilvl="0" w:tplc="6E18F93A">
      <w:start w:val="1"/>
      <w:numFmt w:val="bullet"/>
      <w:lvlText w:val="●"/>
      <w:lvlJc w:val="left"/>
      <w:pPr>
        <w:ind w:left="720" w:hanging="360"/>
      </w:pPr>
    </w:lvl>
    <w:lvl w:ilvl="1" w:tplc="B4C46430">
      <w:start w:val="1"/>
      <w:numFmt w:val="bullet"/>
      <w:lvlText w:val="○"/>
      <w:lvlJc w:val="left"/>
      <w:pPr>
        <w:ind w:left="1440" w:hanging="360"/>
      </w:pPr>
    </w:lvl>
    <w:lvl w:ilvl="2" w:tplc="F8A44CCE">
      <w:start w:val="1"/>
      <w:numFmt w:val="bullet"/>
      <w:lvlText w:val="■"/>
      <w:lvlJc w:val="left"/>
      <w:pPr>
        <w:ind w:left="2160" w:hanging="360"/>
      </w:pPr>
    </w:lvl>
    <w:lvl w:ilvl="3" w:tplc="C9600E68">
      <w:start w:val="1"/>
      <w:numFmt w:val="bullet"/>
      <w:lvlText w:val="●"/>
      <w:lvlJc w:val="left"/>
      <w:pPr>
        <w:ind w:left="2880" w:hanging="360"/>
      </w:pPr>
    </w:lvl>
    <w:lvl w:ilvl="4" w:tplc="287C8140">
      <w:start w:val="1"/>
      <w:numFmt w:val="bullet"/>
      <w:lvlText w:val="○"/>
      <w:lvlJc w:val="left"/>
      <w:pPr>
        <w:ind w:left="3600" w:hanging="360"/>
      </w:pPr>
    </w:lvl>
    <w:lvl w:ilvl="5" w:tplc="0AB6426A">
      <w:start w:val="1"/>
      <w:numFmt w:val="bullet"/>
      <w:lvlText w:val="■"/>
      <w:lvlJc w:val="left"/>
      <w:pPr>
        <w:ind w:left="4320" w:hanging="360"/>
      </w:pPr>
    </w:lvl>
    <w:lvl w:ilvl="6" w:tplc="425AF01C">
      <w:start w:val="1"/>
      <w:numFmt w:val="bullet"/>
      <w:lvlText w:val="●"/>
      <w:lvlJc w:val="left"/>
      <w:pPr>
        <w:ind w:left="5040" w:hanging="360"/>
      </w:pPr>
    </w:lvl>
    <w:lvl w:ilvl="7" w:tplc="0E82E632">
      <w:start w:val="1"/>
      <w:numFmt w:val="bullet"/>
      <w:lvlText w:val="●"/>
      <w:lvlJc w:val="left"/>
      <w:pPr>
        <w:ind w:left="5760" w:hanging="360"/>
      </w:pPr>
    </w:lvl>
    <w:lvl w:ilvl="8" w:tplc="B1EE75EE">
      <w:start w:val="1"/>
      <w:numFmt w:val="bullet"/>
      <w:lvlText w:val="●"/>
      <w:lvlJc w:val="left"/>
      <w:pPr>
        <w:ind w:left="6480" w:hanging="360"/>
      </w:pPr>
    </w:lvl>
  </w:abstractNum>
  <w:abstractNum w:abstractNumId="1" w15:restartNumberingAfterBreak="0">
    <w:nsid w:val="5ED72387"/>
    <w:multiLevelType w:val="hybridMultilevel"/>
    <w:tmpl w:val="37FAD3C2"/>
    <w:lvl w:ilvl="0" w:tplc="6512CC46">
      <w:start w:val="1"/>
      <w:numFmt w:val="bullet"/>
      <w:lvlText w:val="•"/>
      <w:lvlJc w:val="left"/>
      <w:pPr>
        <w:ind w:left="720" w:hanging="360"/>
      </w:pPr>
    </w:lvl>
    <w:lvl w:ilvl="1" w:tplc="2452BC88">
      <w:numFmt w:val="decimal"/>
      <w:lvlText w:val=""/>
      <w:lvlJc w:val="left"/>
    </w:lvl>
    <w:lvl w:ilvl="2" w:tplc="379E1F2E">
      <w:numFmt w:val="decimal"/>
      <w:lvlText w:val=""/>
      <w:lvlJc w:val="left"/>
    </w:lvl>
    <w:lvl w:ilvl="3" w:tplc="81A87CD6">
      <w:numFmt w:val="decimal"/>
      <w:lvlText w:val=""/>
      <w:lvlJc w:val="left"/>
    </w:lvl>
    <w:lvl w:ilvl="4" w:tplc="7AA468E4">
      <w:numFmt w:val="decimal"/>
      <w:lvlText w:val=""/>
      <w:lvlJc w:val="left"/>
    </w:lvl>
    <w:lvl w:ilvl="5" w:tplc="4C140F8A">
      <w:numFmt w:val="decimal"/>
      <w:lvlText w:val=""/>
      <w:lvlJc w:val="left"/>
    </w:lvl>
    <w:lvl w:ilvl="6" w:tplc="84368540">
      <w:numFmt w:val="decimal"/>
      <w:lvlText w:val=""/>
      <w:lvlJc w:val="left"/>
    </w:lvl>
    <w:lvl w:ilvl="7" w:tplc="6470A202">
      <w:numFmt w:val="decimal"/>
      <w:lvlText w:val=""/>
      <w:lvlJc w:val="left"/>
    </w:lvl>
    <w:lvl w:ilvl="8" w:tplc="AD82F9F8">
      <w:numFmt w:val="decimal"/>
      <w:lvlText w:val=""/>
      <w:lvlJc w:val="left"/>
    </w:lvl>
  </w:abstractNum>
  <w:num w:numId="1" w16cid:durableId="900141630">
    <w:abstractNumId w:val="0"/>
    <w:lvlOverride w:ilvl="0">
      <w:startOverride w:val="1"/>
    </w:lvlOverride>
  </w:num>
  <w:num w:numId="2" w16cid:durableId="248806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32A"/>
    <w:rsid w:val="00164797"/>
    <w:rsid w:val="004625F5"/>
    <w:rsid w:val="008F032A"/>
    <w:rsid w:val="00A23540"/>
    <w:rsid w:val="00B322E7"/>
    <w:rsid w:val="00E43C48"/>
    <w:rsid w:val="00F3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EC7557"/>
  <w15:docId w15:val="{E984C5F6-262A-3E4E-8E8B-81EE2610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E7E"/>
      </w:pBdr>
      <w:spacing w:before="280" w:after="100"/>
      <w:outlineLvl w:val="0"/>
    </w:pPr>
    <w:rPr>
      <w:rFonts w:ascii="Arial" w:eastAsia="Arial" w:hAnsi="Arial" w:cs="Arial"/>
      <w:b/>
      <w:bCs/>
      <w:color w:val="2E4E7E"/>
      <w:sz w:val="26"/>
      <w:szCs w:val="26"/>
    </w:rPr>
  </w:style>
  <w:style w:type="paragraph" w:styleId="Heading2">
    <w:name w:val="heading 2"/>
    <w:uiPriority w:val="9"/>
    <w:unhideWhenUsed/>
    <w:qFormat/>
    <w:pPr>
      <w:spacing w:before="180" w:after="60"/>
      <w:outlineLvl w:val="1"/>
    </w:pPr>
    <w:rPr>
      <w:rFonts w:ascii="Arial" w:eastAsia="Arial" w:hAnsi="Arial" w:cs="Arial"/>
      <w:b/>
      <w:bCs/>
      <w:color w:val="2E4E7E"/>
      <w:sz w:val="22"/>
      <w:szCs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2620</Words>
  <Characters>14940</Characters>
  <Application>Microsoft Office Word</Application>
  <DocSecurity>0</DocSecurity>
  <Lines>124</Lines>
  <Paragraphs>35</Paragraphs>
  <ScaleCrop>false</ScaleCrop>
  <Company/>
  <LinksUpToDate>false</LinksUpToDate>
  <CharactersWithSpaces>17525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chou</cp:lastModifiedBy>
  <cp:revision>4</cp:revision>
  <cp:lastPrinted>2026-06-04T22:44:00Z</cp:lastPrinted>
  <dcterms:created xsi:type="dcterms:W3CDTF">2026-06-03T20:41:00Z</dcterms:created>
  <dcterms:modified xsi:type="dcterms:W3CDTF">2026-06-04T22:44:00Z</dcterms:modified>
</cp:coreProperties>
</file>