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FA779" w14:textId="77777777" w:rsidR="000952C7" w:rsidRDefault="00000000">
      <w:pPr>
        <w:spacing w:after="60"/>
      </w:pPr>
      <w:r>
        <w:rPr>
          <w:rFonts w:ascii="Arial" w:eastAsia="Arial" w:hAnsi="Arial" w:cs="Arial"/>
          <w:b/>
          <w:bCs/>
          <w:color w:val="2E4E7E"/>
          <w:sz w:val="18"/>
          <w:szCs w:val="18"/>
        </w:rPr>
        <w:t>Original Investigation | Pediatric Cardiology</w:t>
      </w:r>
    </w:p>
    <w:p w14:paraId="3CF895B7" w14:textId="77777777" w:rsidR="000952C7" w:rsidRDefault="000952C7">
      <w:pPr>
        <w:pBdr>
          <w:bottom w:val="single" w:sz="6" w:space="1" w:color="2E4E7E"/>
        </w:pBdr>
        <w:spacing w:before="100" w:after="100"/>
      </w:pPr>
    </w:p>
    <w:p w14:paraId="27944F45" w14:textId="77777777" w:rsidR="000952C7" w:rsidRDefault="00000000">
      <w:pPr>
        <w:spacing w:before="80" w:after="60"/>
      </w:pPr>
      <w:r>
        <w:rPr>
          <w:rFonts w:ascii="Arial" w:eastAsia="Arial" w:hAnsi="Arial" w:cs="Arial"/>
          <w:b/>
          <w:bCs/>
          <w:sz w:val="34"/>
          <w:szCs w:val="34"/>
        </w:rPr>
        <w:t>How Much More We Know About Pediatric Cardiology</w:t>
      </w:r>
    </w:p>
    <w:p w14:paraId="7FB1CFF9" w14:textId="77777777" w:rsidR="000952C7" w:rsidRDefault="00000000">
      <w:pPr>
        <w:spacing w:before="40" w:after="60"/>
      </w:pPr>
      <w:r>
        <w:rPr>
          <w:rFonts w:ascii="Arial" w:eastAsia="Arial" w:hAnsi="Arial" w:cs="Arial"/>
          <w:i/>
          <w:iCs/>
          <w:color w:val="555555"/>
          <w:sz w:val="20"/>
          <w:szCs w:val="20"/>
        </w:rPr>
        <w:t>A temporal analysis of the Pediatric Cardiac Atlas: what a year-2000 version would have contained, and what the molecular era has added since</w:t>
      </w:r>
    </w:p>
    <w:p w14:paraId="63846F5A" w14:textId="77777777" w:rsidR="000952C7" w:rsidRDefault="00000000">
      <w:pPr>
        <w:spacing w:before="60" w:after="60"/>
      </w:pPr>
      <w:r>
        <w:rPr>
          <w:rFonts w:ascii="Arial" w:eastAsia="Arial" w:hAnsi="Arial" w:cs="Arial"/>
          <w:color w:val="555555"/>
          <w:sz w:val="18"/>
          <w:szCs w:val="18"/>
        </w:rPr>
        <w:t>Drawn from the Pediatric Cardiac Atlas (2026) | 104 Conditions · 11 Categories</w:t>
      </w:r>
    </w:p>
    <w:p w14:paraId="6AB0BF1D" w14:textId="18C32104" w:rsidR="000952C7" w:rsidRDefault="00000000">
      <w:pPr>
        <w:spacing w:before="60" w:after="200"/>
      </w:pPr>
      <w:r>
        <w:rPr>
          <w:rFonts w:ascii="Arial" w:eastAsia="Arial" w:hAnsi="Arial" w:cs="Arial"/>
          <w:i/>
          <w:iCs/>
          <w:sz w:val="20"/>
          <w:szCs w:val="20"/>
        </w:rPr>
        <w:t>, Pediatric Moonshot</w:t>
      </w:r>
    </w:p>
    <w:p w14:paraId="19A09933" w14:textId="77777777" w:rsidR="000952C7" w:rsidRDefault="00000000">
      <w:pPr>
        <w:spacing w:before="120" w:after="60"/>
      </w:pPr>
      <w:r>
        <w:rPr>
          <w:rFonts w:ascii="Arial" w:eastAsia="Arial" w:hAnsi="Arial" w:cs="Arial"/>
          <w:b/>
          <w:bCs/>
        </w:rPr>
        <w:t>Abstract</w:t>
      </w:r>
    </w:p>
    <w:p w14:paraId="4121EEF4" w14:textId="77777777" w:rsidR="000952C7" w:rsidRDefault="000952C7">
      <w:pPr>
        <w:pBdr>
          <w:bottom w:val="single" w:sz="6" w:space="1" w:color="2E4E7E"/>
        </w:pBdr>
        <w:spacing w:before="100" w:after="100"/>
      </w:pPr>
    </w:p>
    <w:p w14:paraId="4DD8CDAC" w14:textId="77777777" w:rsidR="000952C7" w:rsidRDefault="00000000">
      <w:pPr>
        <w:spacing w:before="60" w:after="20"/>
      </w:pPr>
      <w:r>
        <w:rPr>
          <w:rFonts w:ascii="Arial" w:eastAsia="Arial" w:hAnsi="Arial" w:cs="Arial"/>
          <w:b/>
          <w:bCs/>
          <w:color w:val="2E4E7E"/>
          <w:sz w:val="18"/>
          <w:szCs w:val="18"/>
        </w:rPr>
        <w:t>IMPORTANCE</w:t>
      </w:r>
    </w:p>
    <w:p w14:paraId="115720D2" w14:textId="77777777" w:rsidR="000952C7" w:rsidRDefault="00000000">
      <w:pPr>
        <w:spacing w:before="20" w:after="60"/>
        <w:jc w:val="both"/>
      </w:pPr>
      <w:r>
        <w:t>Pediatric cardiology has the deepest historical roots of any pediatric subspecialty — congenital heart defects were described anatomically in the 1600s, and surgical repair was established between the 1940s and 1970s. Despite this maturity, the field has grown substantially since 2000 through molecular discovery. Understanding where and why that growth occurred is essential to prioritizing the data infrastructure needed for rare pediatric cardiac conditions.</w:t>
      </w:r>
    </w:p>
    <w:p w14:paraId="5692C9E4" w14:textId="77777777" w:rsidR="000952C7" w:rsidRDefault="00000000">
      <w:pPr>
        <w:spacing w:before="60" w:after="20"/>
      </w:pPr>
      <w:r>
        <w:rPr>
          <w:rFonts w:ascii="Arial" w:eastAsia="Arial" w:hAnsi="Arial" w:cs="Arial"/>
          <w:b/>
          <w:bCs/>
          <w:color w:val="2E4E7E"/>
          <w:sz w:val="18"/>
          <w:szCs w:val="18"/>
        </w:rPr>
        <w:t>OBJECTIVE</w:t>
      </w:r>
    </w:p>
    <w:p w14:paraId="5858131B" w14:textId="77777777" w:rsidR="000952C7" w:rsidRDefault="00000000">
      <w:pPr>
        <w:spacing w:before="20" w:after="60"/>
        <w:jc w:val="both"/>
      </w:pPr>
      <w:r>
        <w:t>To perform a temporal analysis of the Pediatric Cardiac Atlas (2026), estimating which conditions were recognized before 2000, which were molecularly redefined post-2000, and which represent entirely new diagnostic entities, and to characterize the implications of that growth pattern for federated pediatric cardiac data infrastructure.</w:t>
      </w:r>
    </w:p>
    <w:p w14:paraId="45E1E67F" w14:textId="77777777" w:rsidR="000952C7" w:rsidRDefault="00000000">
      <w:pPr>
        <w:spacing w:before="60" w:after="20"/>
      </w:pPr>
      <w:r>
        <w:rPr>
          <w:rFonts w:ascii="Arial" w:eastAsia="Arial" w:hAnsi="Arial" w:cs="Arial"/>
          <w:b/>
          <w:bCs/>
          <w:color w:val="2E4E7E"/>
          <w:sz w:val="18"/>
          <w:szCs w:val="18"/>
        </w:rPr>
        <w:t>DESIGN, SETTING, AND METHODS</w:t>
      </w:r>
    </w:p>
    <w:p w14:paraId="0654815D" w14:textId="77777777" w:rsidR="000952C7" w:rsidRDefault="00000000">
      <w:pPr>
        <w:spacing w:before="20" w:after="60"/>
        <w:jc w:val="both"/>
      </w:pPr>
      <w:r>
        <w:t>Citation-year and gene-discovery analysis of all 104 Pediatric Cardiac Atlas entries (March 2026 version). Year assigned reflects the earlier of: first clinical description, gene identification, or formal diagnostic classification as a distinct entity. Pre-2000 conditions were recognized as distinct clinical or molecular entities before January 2000. Counts are approximate for conditions at the 1999/2000 boundary.</w:t>
      </w:r>
    </w:p>
    <w:p w14:paraId="72F37D7C" w14:textId="77777777" w:rsidR="000952C7" w:rsidRDefault="00000000">
      <w:pPr>
        <w:spacing w:before="60" w:after="20"/>
      </w:pPr>
      <w:r>
        <w:rPr>
          <w:rFonts w:ascii="Arial" w:eastAsia="Arial" w:hAnsi="Arial" w:cs="Arial"/>
          <w:b/>
          <w:bCs/>
          <w:color w:val="2E4E7E"/>
          <w:sz w:val="18"/>
          <w:szCs w:val="18"/>
        </w:rPr>
        <w:t>RESULTS</w:t>
      </w:r>
    </w:p>
    <w:p w14:paraId="022200CD" w14:textId="77777777" w:rsidR="000952C7" w:rsidRDefault="00000000">
      <w:pPr>
        <w:spacing w:before="20" w:after="60"/>
        <w:jc w:val="both"/>
      </w:pPr>
      <w:r>
        <w:t xml:space="preserve">A year-2000 Pediatric Cardiac Atlas would have contained approximately 76 of today's 104 conditions — a +37% growth over 25 years. Approximately 22 conditions are entirely new since 2000; approximately 6 were clinically known but molecularly redefined. New conditions cluster in three areas: inherited arrhythmia genetics (CPVT, Short QT Syndrome, LQT subtypes 4–17, Timothy Syndrome, Andersen-Tawil Syndrome); connective tissue and </w:t>
      </w:r>
      <w:proofErr w:type="spellStart"/>
      <w:r>
        <w:t>aortopathy</w:t>
      </w:r>
      <w:proofErr w:type="spellEnd"/>
      <w:r>
        <w:t xml:space="preserve"> syndromes (</w:t>
      </w:r>
      <w:proofErr w:type="spellStart"/>
      <w:r>
        <w:t>Loeys</w:t>
      </w:r>
      <w:proofErr w:type="spellEnd"/>
      <w:r>
        <w:t xml:space="preserve">-Dietz Syndrome, SMAD3 </w:t>
      </w:r>
      <w:proofErr w:type="spellStart"/>
      <w:r>
        <w:t>aortopathy</w:t>
      </w:r>
      <w:proofErr w:type="spellEnd"/>
      <w:r>
        <w:t>); and Fontan-associated systemic complications (FALD, fully characterized PLE). MIS-C, described in 2020, is the most recent addition.</w:t>
      </w:r>
    </w:p>
    <w:p w14:paraId="6D856A99" w14:textId="77777777" w:rsidR="000952C7" w:rsidRDefault="00000000">
      <w:pPr>
        <w:spacing w:before="60" w:after="20"/>
      </w:pPr>
      <w:r>
        <w:rPr>
          <w:rFonts w:ascii="Arial" w:eastAsia="Arial" w:hAnsi="Arial" w:cs="Arial"/>
          <w:b/>
          <w:bCs/>
          <w:color w:val="2E4E7E"/>
          <w:sz w:val="18"/>
          <w:szCs w:val="18"/>
        </w:rPr>
        <w:t>CONCLUSIONS AND RELEVANCE</w:t>
      </w:r>
    </w:p>
    <w:p w14:paraId="32575D48" w14:textId="193BE25E" w:rsidR="000952C7" w:rsidRDefault="00000000">
      <w:pPr>
        <w:spacing w:before="20" w:after="60"/>
        <w:jc w:val="both"/>
      </w:pPr>
      <w:r>
        <w:t xml:space="preserve">The +37% growth in pediatric cardiology knowledge since 2000 is concentrated in rare, genetically defined conditions where no single institution can build a meaningful evidence base. CPVT affects an estimated 3,000–6,000 US children; Timothy Syndrome has approximately 25 known cases globally; Short QT Syndrome fewer than 500 documented families. These conditions </w:t>
      </w:r>
      <w:proofErr w:type="gramStart"/>
      <w:r>
        <w:t>require</w:t>
      </w:r>
      <w:r w:rsidR="000E2944">
        <w:t>s</w:t>
      </w:r>
      <w:proofErr w:type="gramEnd"/>
      <w:r w:rsidR="000E2944">
        <w:t xml:space="preserve"> a </w:t>
      </w:r>
      <w:r w:rsidR="000E2944">
        <w:lastRenderedPageBreak/>
        <w:t>federated, privacy</w:t>
      </w:r>
      <w:r>
        <w:t xml:space="preserve">-preserving </w:t>
      </w:r>
      <w:proofErr w:type="spellStart"/>
      <w:r>
        <w:t>platformto</w:t>
      </w:r>
      <w:proofErr w:type="spellEnd"/>
      <w:r>
        <w:t xml:space="preserve"> answer the fundamental clinical questions these rare diseases pose.</w:t>
      </w:r>
    </w:p>
    <w:p w14:paraId="5CA25AB6" w14:textId="77777777" w:rsidR="000952C7" w:rsidRDefault="000952C7">
      <w:pPr>
        <w:spacing w:before="60" w:after="60"/>
      </w:pPr>
    </w:p>
    <w:p w14:paraId="5B7EE3DD" w14:textId="77777777" w:rsidR="000952C7" w:rsidRDefault="00000000">
      <w:pPr>
        <w:spacing w:before="40" w:after="80"/>
      </w:pPr>
      <w:r>
        <w:rPr>
          <w:rFonts w:ascii="Arial" w:eastAsia="Arial" w:hAnsi="Arial" w:cs="Arial"/>
          <w:i/>
          <w:iCs/>
          <w:color w:val="555555"/>
          <w:sz w:val="17"/>
          <w:szCs w:val="17"/>
        </w:rPr>
        <w:t xml:space="preserve">Pediatric Moonshot | Pediatric Cardiac Atlas 2026. </w:t>
      </w:r>
      <w:proofErr w:type="gramStart"/>
      <w:r>
        <w:rPr>
          <w:rFonts w:ascii="Arial" w:eastAsia="Arial" w:hAnsi="Arial" w:cs="Arial"/>
          <w:i/>
          <w:iCs/>
          <w:color w:val="555555"/>
          <w:sz w:val="17"/>
          <w:szCs w:val="17"/>
        </w:rPr>
        <w:t>doi:10.PM</w:t>
      </w:r>
      <w:proofErr w:type="gramEnd"/>
      <w:r>
        <w:rPr>
          <w:rFonts w:ascii="Arial" w:eastAsia="Arial" w:hAnsi="Arial" w:cs="Arial"/>
          <w:i/>
          <w:iCs/>
          <w:color w:val="555555"/>
          <w:sz w:val="17"/>
          <w:szCs w:val="17"/>
        </w:rPr>
        <w:t>/cardiac-25yr.2026</w:t>
      </w:r>
    </w:p>
    <w:p w14:paraId="2DF876C5" w14:textId="77777777" w:rsidR="000952C7" w:rsidRDefault="000952C7">
      <w:pPr>
        <w:pBdr>
          <w:bottom w:val="single" w:sz="6" w:space="1" w:color="2E4E7E"/>
        </w:pBdr>
        <w:spacing w:before="100" w:after="100"/>
      </w:pPr>
    </w:p>
    <w:p w14:paraId="2FF1231B" w14:textId="77777777" w:rsidR="000952C7" w:rsidRDefault="000952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52C7" w14:paraId="2A5B0FCB" w14:textId="77777777">
        <w:tblPrEx>
          <w:tblCellMar>
            <w:top w:w="0" w:type="dxa"/>
            <w:bottom w:w="0" w:type="dxa"/>
          </w:tblCellMar>
        </w:tblPrEx>
        <w:tc>
          <w:tcPr>
            <w:tcW w:w="0" w:type="auto"/>
            <w:tcBorders>
              <w:top w:val="single" w:sz="8" w:space="0" w:color="2E4E7E"/>
              <w:left w:val="single" w:sz="8" w:space="0" w:color="2E4E7E"/>
              <w:bottom w:val="single" w:sz="8" w:space="0" w:color="2E4E7E"/>
              <w:right w:val="single" w:sz="8" w:space="0" w:color="2E4E7E"/>
            </w:tcBorders>
            <w:shd w:val="clear" w:color="auto" w:fill="EAF0F8"/>
            <w:tcMar>
              <w:top w:w="100" w:type="dxa"/>
              <w:left w:w="180" w:type="dxa"/>
              <w:bottom w:w="100" w:type="dxa"/>
              <w:right w:w="180" w:type="dxa"/>
            </w:tcMar>
          </w:tcPr>
          <w:p w14:paraId="50DC9DD9" w14:textId="77777777" w:rsidR="000952C7" w:rsidRDefault="00000000">
            <w:r>
              <w:rPr>
                <w:rFonts w:ascii="Arial" w:eastAsia="Arial" w:hAnsi="Arial" w:cs="Arial"/>
                <w:b/>
                <w:bCs/>
                <w:color w:val="2E4E7E"/>
                <w:sz w:val="20"/>
                <w:szCs w:val="20"/>
              </w:rPr>
              <w:t>Key Points</w:t>
            </w:r>
          </w:p>
          <w:p w14:paraId="3AA05BE8" w14:textId="77777777" w:rsidR="000952C7" w:rsidRDefault="000952C7">
            <w:pPr>
              <w:spacing w:before="60" w:after="60"/>
            </w:pPr>
          </w:p>
          <w:p w14:paraId="34F2B776" w14:textId="1277EA91" w:rsidR="000952C7" w:rsidRDefault="00000000">
            <w:r w:rsidRPr="000E2944">
              <w:rPr>
                <w:rFonts w:ascii="Arial" w:eastAsia="Arial" w:hAnsi="Arial" w:cs="Arial"/>
                <w:b/>
                <w:bCs/>
              </w:rPr>
              <w:t xml:space="preserve">Question </w:t>
            </w:r>
            <w:r>
              <w:t>How much has pediatric cardiology knowledge grown since 2000, and what drove that growth?</w:t>
            </w:r>
          </w:p>
          <w:p w14:paraId="5E74FE16" w14:textId="77777777" w:rsidR="000952C7" w:rsidRDefault="000952C7">
            <w:pPr>
              <w:spacing w:before="60" w:after="60"/>
            </w:pPr>
          </w:p>
          <w:p w14:paraId="49447220" w14:textId="1D6E75D9" w:rsidR="000952C7" w:rsidRDefault="00000000">
            <w:r w:rsidRPr="000E2944">
              <w:rPr>
                <w:rFonts w:ascii="Arial" w:eastAsia="Arial" w:hAnsi="Arial" w:cs="Arial"/>
                <w:b/>
                <w:bCs/>
              </w:rPr>
              <w:t xml:space="preserve">Findings </w:t>
            </w:r>
            <w:r>
              <w:t xml:space="preserve">The Pediatric Cardiac Atlas grew by +37% between 2000 and 2026 — from approximately 76 to 104 recognized conditions. Growth was concentrated in inherited arrhythmia genetics, connective tissue </w:t>
            </w:r>
            <w:proofErr w:type="spellStart"/>
            <w:r>
              <w:t>aortopathy</w:t>
            </w:r>
            <w:proofErr w:type="spellEnd"/>
            <w:r>
              <w:t xml:space="preserve"> syndromes, and Fontan-associated systemic complications. The structural CHD landscape was largely complete by 2000; what the molecular era added was the genetic and biochemical layer beneath the anatomy.</w:t>
            </w:r>
          </w:p>
          <w:p w14:paraId="61DB1130" w14:textId="77777777" w:rsidR="000952C7" w:rsidRDefault="000952C7">
            <w:pPr>
              <w:spacing w:before="60" w:after="60"/>
            </w:pPr>
          </w:p>
          <w:p w14:paraId="2C2F36EE" w14:textId="692CA3C1" w:rsidR="000952C7" w:rsidRDefault="00000000">
            <w:r w:rsidRPr="000E2944">
              <w:rPr>
                <w:rFonts w:ascii="Arial" w:eastAsia="Arial" w:hAnsi="Arial" w:cs="Arial"/>
                <w:b/>
                <w:bCs/>
              </w:rPr>
              <w:t xml:space="preserve">Meaning </w:t>
            </w:r>
            <w:r>
              <w:t xml:space="preserve">Nearly all 28 conditions added since 2000 are individually rare, genetically defined, and completely dependent on multi-institutional data infrastructure to generate an evidence base. </w:t>
            </w:r>
            <w:r w:rsidR="000E2944">
              <w:t>And with the increasingly precision science in 25 years there could be 204 conditions.</w:t>
            </w:r>
          </w:p>
        </w:tc>
      </w:tr>
    </w:tbl>
    <w:p w14:paraId="0279B598" w14:textId="77777777" w:rsidR="000952C7" w:rsidRDefault="000952C7">
      <w:pPr>
        <w:spacing w:before="60" w:after="60"/>
      </w:pPr>
    </w:p>
    <w:p w14:paraId="12382957" w14:textId="77777777" w:rsidR="000952C7" w:rsidRDefault="00000000">
      <w:pPr>
        <w:pStyle w:val="Heading1"/>
        <w:spacing w:before="240"/>
      </w:pPr>
      <w:r>
        <w:rPr>
          <w:sz w:val="24"/>
          <w:szCs w:val="24"/>
        </w:rPr>
        <w:t>A Specialty Built on Surgery — Transformed by Genetics</w:t>
      </w:r>
    </w:p>
    <w:p w14:paraId="0F96AD07" w14:textId="77777777" w:rsidR="000952C7" w:rsidRDefault="000952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52C7" w14:paraId="1C9D728E" w14:textId="77777777">
        <w:tblPrEx>
          <w:tblCellMar>
            <w:top w:w="0" w:type="dxa"/>
            <w:bottom w:w="0" w:type="dxa"/>
          </w:tblCellMar>
        </w:tblPrEx>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2278956D" w14:textId="77777777" w:rsidR="000952C7" w:rsidRDefault="00000000">
            <w:pPr>
              <w:jc w:val="center"/>
            </w:pPr>
            <w:r>
              <w:rPr>
                <w:rFonts w:ascii="Arial" w:eastAsia="Arial" w:hAnsi="Arial" w:cs="Arial"/>
                <w:b/>
                <w:bCs/>
                <w:color w:val="2E4E7E"/>
                <w:sz w:val="52"/>
                <w:szCs w:val="52"/>
              </w:rPr>
              <w:t>104</w:t>
            </w:r>
          </w:p>
          <w:p w14:paraId="07092CB3" w14:textId="77777777" w:rsidR="000952C7" w:rsidRDefault="00000000">
            <w:pPr>
              <w:jc w:val="center"/>
            </w:pPr>
            <w:r>
              <w:rPr>
                <w:rFonts w:ascii="Arial" w:eastAsia="Arial" w:hAnsi="Arial" w:cs="Arial"/>
                <w:color w:val="555555"/>
                <w:sz w:val="18"/>
                <w:szCs w:val="18"/>
              </w:rPr>
              <w:t>Conditions today (March 2026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0604880D" w14:textId="77777777" w:rsidR="000952C7" w:rsidRDefault="00000000">
            <w:pPr>
              <w:jc w:val="center"/>
            </w:pPr>
            <w:r>
              <w:rPr>
                <w:rFonts w:ascii="Arial" w:eastAsia="Arial" w:hAnsi="Arial" w:cs="Arial"/>
                <w:b/>
                <w:bCs/>
                <w:color w:val="2E4E7E"/>
                <w:sz w:val="52"/>
                <w:szCs w:val="52"/>
              </w:rPr>
              <w:t>~76</w:t>
            </w:r>
          </w:p>
          <w:p w14:paraId="76E416F6" w14:textId="77777777" w:rsidR="000952C7" w:rsidRDefault="00000000">
            <w:pPr>
              <w:jc w:val="center"/>
            </w:pPr>
            <w:r>
              <w:rPr>
                <w:rFonts w:ascii="Arial" w:eastAsia="Arial" w:hAnsi="Arial" w:cs="Arial"/>
                <w:color w:val="555555"/>
                <w:sz w:val="18"/>
                <w:szCs w:val="18"/>
              </w:rPr>
              <w:t>Estimated in 2000 (year-2000 atlas)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2751DD12" w14:textId="77777777" w:rsidR="000952C7" w:rsidRDefault="00000000">
            <w:pPr>
              <w:jc w:val="center"/>
            </w:pPr>
            <w:r>
              <w:rPr>
                <w:rFonts w:ascii="Arial" w:eastAsia="Arial" w:hAnsi="Arial" w:cs="Arial"/>
                <w:b/>
                <w:bCs/>
                <w:color w:val="2E4E7E"/>
                <w:sz w:val="52"/>
                <w:szCs w:val="52"/>
              </w:rPr>
              <w:t>~28</w:t>
            </w:r>
          </w:p>
          <w:p w14:paraId="0A9ABF34" w14:textId="77777777" w:rsidR="000952C7" w:rsidRDefault="00000000">
            <w:pPr>
              <w:jc w:val="center"/>
            </w:pPr>
            <w:r>
              <w:rPr>
                <w:rFonts w:ascii="Arial" w:eastAsia="Arial" w:hAnsi="Arial" w:cs="Arial"/>
                <w:color w:val="555555"/>
                <w:sz w:val="18"/>
                <w:szCs w:val="18"/>
              </w:rPr>
              <w:t>New since 2000 (conditions)</w:t>
            </w:r>
          </w:p>
        </w:tc>
        <w:tc>
          <w:tcPr>
            <w:tcW w:w="2340" w:type="dxa"/>
            <w:tcBorders>
              <w:top w:val="single" w:sz="4" w:space="0" w:color="2E4E7E"/>
              <w:left w:val="single" w:sz="4" w:space="0" w:color="2E4E7E"/>
              <w:bottom w:val="single" w:sz="4" w:space="0" w:color="2E4E7E"/>
              <w:right w:val="single" w:sz="4" w:space="0" w:color="2E4E7E"/>
            </w:tcBorders>
            <w:shd w:val="clear" w:color="auto" w:fill="F2F6FA"/>
            <w:tcMar>
              <w:top w:w="120" w:type="dxa"/>
              <w:left w:w="120" w:type="dxa"/>
              <w:bottom w:w="120" w:type="dxa"/>
              <w:right w:w="120" w:type="dxa"/>
            </w:tcMar>
          </w:tcPr>
          <w:p w14:paraId="6DA5E230" w14:textId="77777777" w:rsidR="000952C7" w:rsidRDefault="00000000">
            <w:pPr>
              <w:jc w:val="center"/>
            </w:pPr>
            <w:r>
              <w:rPr>
                <w:rFonts w:ascii="Arial" w:eastAsia="Arial" w:hAnsi="Arial" w:cs="Arial"/>
                <w:b/>
                <w:bCs/>
                <w:color w:val="2E4E7E"/>
                <w:sz w:val="52"/>
                <w:szCs w:val="52"/>
              </w:rPr>
              <w:t>+37%</w:t>
            </w:r>
          </w:p>
          <w:p w14:paraId="0FE34367" w14:textId="77777777" w:rsidR="000952C7" w:rsidRDefault="00000000">
            <w:pPr>
              <w:jc w:val="center"/>
            </w:pPr>
            <w:r>
              <w:rPr>
                <w:rFonts w:ascii="Arial" w:eastAsia="Arial" w:hAnsi="Arial" w:cs="Arial"/>
                <w:color w:val="555555"/>
                <w:sz w:val="18"/>
                <w:szCs w:val="18"/>
              </w:rPr>
              <w:t>Knowledge growth in 25 years</w:t>
            </w:r>
          </w:p>
        </w:tc>
      </w:tr>
    </w:tbl>
    <w:p w14:paraId="5F406489" w14:textId="77777777" w:rsidR="000952C7" w:rsidRDefault="000952C7">
      <w:pPr>
        <w:spacing w:before="60" w:after="60"/>
      </w:pPr>
    </w:p>
    <w:p w14:paraId="445DC964" w14:textId="77777777" w:rsidR="000952C7" w:rsidRDefault="00000000">
      <w:pPr>
        <w:spacing w:before="60" w:after="80"/>
        <w:jc w:val="both"/>
      </w:pPr>
      <w:r>
        <w:t xml:space="preserve">Pediatric cardiology has the deepest historical roots of any pediatric subspecialty. Congenital heart defects were described anatomically in the 1600s and 1700s; surgical repair techniques were established in the 1940s–1970s. By 2000, the structural landscape was largely mapped. What the subsequent 25 years added was a molecular layer: the genes driving inherited arrhythmias, the genetic architecture of cardiomyopathies, the molecular basis of connective tissue </w:t>
      </w:r>
      <w:proofErr w:type="spellStart"/>
      <w:r>
        <w:t>aortopathies</w:t>
      </w:r>
      <w:proofErr w:type="spellEnd"/>
      <w:r>
        <w:t>, and an entirely new category of Fontan-associated systemic complications. The Atlas grew by +37% — not because surgeons discovered new holes in the heart, but because geneticists and electrophysiologists discovered why hearts fail electrically and biochemically at the molecular level.</w:t>
      </w:r>
    </w:p>
    <w:p w14:paraId="5D03D133" w14:textId="77777777" w:rsidR="000952C7" w:rsidRDefault="00000000">
      <w:pPr>
        <w:pStyle w:val="Heading1"/>
        <w:spacing w:before="240"/>
      </w:pPr>
      <w:r>
        <w:rPr>
          <w:sz w:val="24"/>
          <w:szCs w:val="24"/>
        </w:rPr>
        <w:lastRenderedPageBreak/>
        <w:t>Three Categories of Change</w:t>
      </w:r>
    </w:p>
    <w:p w14:paraId="767D837E" w14:textId="77777777" w:rsidR="000952C7" w:rsidRDefault="000952C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0952C7" w14:paraId="13FAAD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482A5D2D" w14:textId="77777777" w:rsidR="000952C7" w:rsidRDefault="00000000">
            <w:r>
              <w:rPr>
                <w:rFonts w:ascii="Arial" w:eastAsia="Arial" w:hAnsi="Arial" w:cs="Arial"/>
                <w:b/>
                <w:bCs/>
                <w:color w:val="FFFFFF"/>
                <w:sz w:val="17"/>
                <w:szCs w:val="17"/>
              </w:rPr>
              <w:t>Category</w:t>
            </w:r>
          </w:p>
        </w:tc>
        <w:tc>
          <w:tcPr>
            <w:tcW w:w="90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1C457079" w14:textId="77777777" w:rsidR="000952C7" w:rsidRDefault="00000000">
            <w:r>
              <w:rPr>
                <w:rFonts w:ascii="Arial" w:eastAsia="Arial" w:hAnsi="Arial" w:cs="Arial"/>
                <w:b/>
                <w:bCs/>
                <w:color w:val="FFFFFF"/>
                <w:sz w:val="17"/>
                <w:szCs w:val="17"/>
              </w:rPr>
              <w:t>Count</w:t>
            </w:r>
          </w:p>
        </w:tc>
        <w:tc>
          <w:tcPr>
            <w:tcW w:w="6060" w:type="dxa"/>
            <w:tcBorders>
              <w:top w:val="single" w:sz="1" w:space="0" w:color="CCCCCC"/>
              <w:left w:val="single" w:sz="1" w:space="0" w:color="CCCCCC"/>
              <w:bottom w:val="single" w:sz="1" w:space="0" w:color="CCCCCC"/>
              <w:right w:val="single" w:sz="1" w:space="0" w:color="CCCCCC"/>
            </w:tcBorders>
            <w:shd w:val="clear" w:color="auto" w:fill="2E4E7E"/>
            <w:tcMar>
              <w:top w:w="60" w:type="dxa"/>
              <w:left w:w="100" w:type="dxa"/>
              <w:bottom w:w="60" w:type="dxa"/>
              <w:right w:w="100" w:type="dxa"/>
            </w:tcMar>
          </w:tcPr>
          <w:p w14:paraId="2EF8A5BA" w14:textId="77777777" w:rsidR="000952C7" w:rsidRDefault="00000000">
            <w:r>
              <w:rPr>
                <w:rFonts w:ascii="Arial" w:eastAsia="Arial" w:hAnsi="Arial" w:cs="Arial"/>
                <w:b/>
                <w:bCs/>
                <w:color w:val="FFFFFF"/>
                <w:sz w:val="17"/>
                <w:szCs w:val="17"/>
              </w:rPr>
              <w:t>Description</w:t>
            </w:r>
          </w:p>
        </w:tc>
      </w:tr>
      <w:tr w:rsidR="000952C7" w14:paraId="2009A5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2D58AE8" w14:textId="77777777" w:rsidR="000952C7" w:rsidRDefault="00000000">
            <w:r>
              <w:rPr>
                <w:sz w:val="17"/>
                <w:szCs w:val="17"/>
              </w:rPr>
              <w:t>Well-established pre-2000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53E962A" w14:textId="77777777" w:rsidR="000952C7" w:rsidRDefault="00000000">
            <w:r>
              <w:rPr>
                <w:sz w:val="17"/>
                <w:szCs w:val="17"/>
              </w:rPr>
              <w:t>~76</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D137F5B" w14:textId="77777777" w:rsidR="000952C7" w:rsidRDefault="00000000">
            <w:r>
              <w:rPr>
                <w:sz w:val="17"/>
                <w:szCs w:val="17"/>
              </w:rPr>
              <w:t>The structural foundation: all major congenital heart defects (TOF, TGA, HLHS, VSD, ASD, CoA), classical cardiomyopathies, LQT types 1–3, Brugada, WPW, Kawasaki, rheumatic heart disease, and major syndromic associations (Marfan, Turner, Williams, DiGeorge as clinical entities). The Fontan operation and palliation strategy were established.</w:t>
            </w:r>
          </w:p>
        </w:tc>
      </w:tr>
      <w:tr w:rsidR="000952C7" w14:paraId="150FF4F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CC2BC" w14:textId="77777777" w:rsidR="000952C7" w:rsidRDefault="00000000">
            <w:r>
              <w:rPr>
                <w:sz w:val="17"/>
                <w:szCs w:val="17"/>
              </w:rPr>
              <w:t>Molecularly redefined post-2000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67623D" w14:textId="77777777" w:rsidR="000952C7" w:rsidRDefault="00000000">
            <w:r>
              <w:rPr>
                <w:sz w:val="17"/>
                <w:szCs w:val="17"/>
              </w:rPr>
              <w:t>~6</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30A3FC" w14:textId="77777777" w:rsidR="000952C7" w:rsidRDefault="00000000">
            <w:r>
              <w:rPr>
                <w:sz w:val="17"/>
                <w:szCs w:val="17"/>
              </w:rPr>
              <w:t>Clinically recognized before 2000 but genetically defined or mechanistically transformed after: Noonan syndrome cardiac (PTPN11 2001, RAF1 2007); DiGeorge cardiac (TBX1 2001); Alagille syndrome (NOTCH2 added 2002); ARVC (DSP/PKP2 2000, Task Force revised 2010); HCM (MYBPC3 fully characterized 2000s).</w:t>
            </w:r>
          </w:p>
        </w:tc>
      </w:tr>
      <w:tr w:rsidR="000952C7" w14:paraId="007B1E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0361388" w14:textId="77777777" w:rsidR="000952C7" w:rsidRDefault="00000000">
            <w:r>
              <w:rPr>
                <w:sz w:val="17"/>
                <w:szCs w:val="17"/>
              </w:rPr>
              <w:t>Entirely new since 2000</w:t>
            </w:r>
          </w:p>
        </w:tc>
        <w:tc>
          <w:tcPr>
            <w:tcW w:w="9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59813C8" w14:textId="77777777" w:rsidR="000952C7" w:rsidRDefault="00000000">
            <w:r>
              <w:rPr>
                <w:sz w:val="17"/>
                <w:szCs w:val="17"/>
              </w:rPr>
              <w:t>~22</w:t>
            </w:r>
          </w:p>
        </w:tc>
        <w:tc>
          <w:tcPr>
            <w:tcW w:w="60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63BD585" w14:textId="77777777" w:rsidR="000952C7" w:rsidRDefault="00000000">
            <w:r>
              <w:rPr>
                <w:sz w:val="17"/>
                <w:szCs w:val="17"/>
              </w:rPr>
              <w:t xml:space="preserve">Did not exist as recognized distinct conditions: all CPVT (RYR2/CASQ2 2001); Short QT Syndrome (2000); LQT subtypes 4–17; Timothy Syndrome/CACNA1C (2004); Andersen-Tawil Syndrome (2001); PRKAG2 cardiac syndrome (2001); </w:t>
            </w:r>
            <w:proofErr w:type="spellStart"/>
            <w:r>
              <w:rPr>
                <w:sz w:val="17"/>
                <w:szCs w:val="17"/>
              </w:rPr>
              <w:t>Loeys</w:t>
            </w:r>
            <w:proofErr w:type="spellEnd"/>
            <w:r>
              <w:rPr>
                <w:sz w:val="17"/>
                <w:szCs w:val="17"/>
              </w:rPr>
              <w:t xml:space="preserve">-Dietz Syndrome (2005); SMAD3 </w:t>
            </w:r>
            <w:proofErr w:type="spellStart"/>
            <w:r>
              <w:rPr>
                <w:sz w:val="17"/>
                <w:szCs w:val="17"/>
              </w:rPr>
              <w:t>aortopathy</w:t>
            </w:r>
            <w:proofErr w:type="spellEnd"/>
            <w:r>
              <w:rPr>
                <w:sz w:val="17"/>
                <w:szCs w:val="17"/>
              </w:rPr>
              <w:t xml:space="preserve"> (2011); Fontan-Associated Liver Disease (2005); </w:t>
            </w:r>
            <w:proofErr w:type="spellStart"/>
            <w:r>
              <w:rPr>
                <w:sz w:val="17"/>
                <w:szCs w:val="17"/>
              </w:rPr>
              <w:t>RASopathy</w:t>
            </w:r>
            <w:proofErr w:type="spellEnd"/>
            <w:r>
              <w:rPr>
                <w:sz w:val="17"/>
                <w:szCs w:val="17"/>
              </w:rPr>
              <w:t xml:space="preserve"> cardiac subtypes (2005–2006); Early Repolarization Syndrome (2008); MIS-C (2020).</w:t>
            </w:r>
          </w:p>
        </w:tc>
      </w:tr>
    </w:tbl>
    <w:p w14:paraId="0E4BA7B3" w14:textId="77777777" w:rsidR="000952C7" w:rsidRDefault="000952C7">
      <w:pPr>
        <w:spacing w:before="60" w:after="60"/>
      </w:pPr>
    </w:p>
    <w:p w14:paraId="076D3EEC" w14:textId="77777777" w:rsidR="000952C7" w:rsidRDefault="00000000">
      <w:pPr>
        <w:spacing w:before="60" w:after="80"/>
        <w:jc w:val="both"/>
      </w:pPr>
      <w:r>
        <w:t xml:space="preserve">A year-2000 Pediatric Cardiology Atlas would have contained approximately 76 of today's 104 conditions. The 28 conditions absent from that Atlas fall into two distinct categories: molecularly defined entities that genomics revealed between 2000 and 2026, and clinical syndromes that required modern diagnostics — genetic panels, advanced imaging, antibody testing — before they could be recognized as distinct diseases. What is striking about cardiology is that this is not a story of missed clinical observations. Pediatric cardiologists in 2000 were superb clinicians. What they lacked was the molecular vocabulary to distinguish one form of sudden cardiac death risk from another, one inherited cardiomyopathy subtype from the next, or one </w:t>
      </w:r>
      <w:proofErr w:type="spellStart"/>
      <w:r>
        <w:t>aortopathy</w:t>
      </w:r>
      <w:proofErr w:type="spellEnd"/>
      <w:r>
        <w:t xml:space="preserve"> syndrome from Marfan syndrome. Each of those distinctions matters profoundly for treatment.</w:t>
      </w:r>
    </w:p>
    <w:p w14:paraId="051387E4" w14:textId="77777777" w:rsidR="000952C7" w:rsidRDefault="00000000">
      <w:pPr>
        <w:pStyle w:val="Heading1"/>
        <w:spacing w:before="240"/>
      </w:pPr>
      <w:r>
        <w:rPr>
          <w:sz w:val="24"/>
          <w:szCs w:val="24"/>
        </w:rPr>
        <w:t>Where the Growth Came From</w:t>
      </w:r>
    </w:p>
    <w:p w14:paraId="5950EEBC" w14:textId="77777777" w:rsidR="000952C7" w:rsidRDefault="00000000">
      <w:pPr>
        <w:pStyle w:val="Heading2"/>
        <w:spacing w:before="160"/>
      </w:pPr>
      <w:r>
        <w:t>Inherited Arrhythmia Genetics: From 3 Entities to Many</w:t>
      </w:r>
    </w:p>
    <w:p w14:paraId="10E38DA3" w14:textId="77777777" w:rsidR="000952C7" w:rsidRDefault="00000000">
      <w:pPr>
        <w:spacing w:before="60" w:after="80"/>
        <w:jc w:val="both"/>
      </w:pPr>
      <w:r>
        <w:t>In 2000, the inherited arrhythmia field consisted of three molecularly defined conditions: LQT1 (KCNQ1, 1996), LQT2 (KCNH2, 1994), and LQT3 (SCN5A, 1995), plus Brugada syndrome (SCN5A loss-of-function, 1998). Over the following decade, ion channel genetics expanded dramatically. Catecholaminergic Polymorphic VT (CPVT) — caused by RYR2 or CASQ2 mutations — was molecularly defined in 2001 and is arguably the most lethal inherited arrhythmia in young patients, with ventricular fibrillation triggered by exercise or emotion. It was effectively undiagnosable before its gene was found. Short QT Syndrome was described in 2000 as an entity of pathologically abbreviated QT interval associated with sudden death. Timothy Syndrome (CACNA1C, 2004) unified a previously puzzling constellation of multiorgan abnormalities — extreme QT prolongation, ASD, autism, and syndactyly — into a single calcium channel disorder. LQT subtypes 4 through 17 were mapped between 2003 and the 2020s, each with different triggers, risk profiles, and gene-specific management implications.</w:t>
      </w:r>
    </w:p>
    <w:p w14:paraId="04BD4E3B" w14:textId="77777777" w:rsidR="000952C7" w:rsidRDefault="00000000">
      <w:pPr>
        <w:pStyle w:val="Heading2"/>
        <w:spacing w:before="160"/>
      </w:pPr>
      <w:proofErr w:type="spellStart"/>
      <w:r>
        <w:lastRenderedPageBreak/>
        <w:t>Aortopathy</w:t>
      </w:r>
      <w:proofErr w:type="spellEnd"/>
      <w:r>
        <w:t>: Marfan Was Not the Whole Story</w:t>
      </w:r>
    </w:p>
    <w:p w14:paraId="6D6EE0C2" w14:textId="77777777" w:rsidR="000952C7" w:rsidRDefault="00000000">
      <w:pPr>
        <w:spacing w:before="60" w:after="80"/>
        <w:jc w:val="both"/>
      </w:pPr>
      <w:proofErr w:type="spellStart"/>
      <w:r>
        <w:t>Loeys</w:t>
      </w:r>
      <w:proofErr w:type="spellEnd"/>
      <w:r>
        <w:t xml:space="preserve">-Dietz Syndrome (TGFBR1/TGFBR2 mutations, 2005) was described as a distinct Marfan-like connective tissue disorder — but with more aggressive aortic disease, uvula bifida, and arterial tortuosity requiring earlier surgical intervention at smaller aortic diameters than Marfan guidelines recommended. Before 2005, these patients were often managed as Marfan syndrome, with potentially fatal consequences. SMAD3-related </w:t>
      </w:r>
      <w:proofErr w:type="spellStart"/>
      <w:r>
        <w:t>aortopathy</w:t>
      </w:r>
      <w:proofErr w:type="spellEnd"/>
      <w:r>
        <w:t xml:space="preserve"> was further separated in 2011, defining yet another pathway in the TGF-β signaling cascade driving aortic root disease. Vascular Ehlers-Danlos syndrome — while clinically described earlier — had its COL3A1 genotype fully characterized and its distinct surgical risk profile established in the 2000s. Together, these three conditions transformed </w:t>
      </w:r>
      <w:proofErr w:type="spellStart"/>
      <w:r>
        <w:t>aortopathy</w:t>
      </w:r>
      <w:proofErr w:type="spellEnd"/>
      <w:r>
        <w:t xml:space="preserve"> from a single-syndrome problem into a molecularly stratified spectrum requiring genotype-specific surgical thresholds.</w:t>
      </w:r>
    </w:p>
    <w:p w14:paraId="51B15C93" w14:textId="77777777" w:rsidR="000952C7" w:rsidRDefault="00000000">
      <w:pPr>
        <w:pStyle w:val="Heading2"/>
        <w:spacing w:before="160"/>
      </w:pPr>
      <w:r>
        <w:t>Fontan Complications: A New Disease Created by Surgical Success</w:t>
      </w:r>
    </w:p>
    <w:p w14:paraId="1C395509" w14:textId="77777777" w:rsidR="000952C7" w:rsidRDefault="00000000">
      <w:pPr>
        <w:spacing w:before="60" w:after="80"/>
        <w:jc w:val="both"/>
      </w:pPr>
      <w:r>
        <w:t>The Fontan operation, introduced in 1971, transformed single-ventricle heart disease from universally fatal to survivable — but it creates a unique circulatory physiology with consequences that were not fully recognized until survivors aged into adolescence and adulthood. Fontan-Associated Liver Disease (FALD) was not formally described as a clinical entity until the mid-2000s; today it is understood to cause hepatic fibrosis and cirrhosis in nearly all Fontan patients over time, with a subset progressing to hepatocellular carcinoma requiring combined heart-liver transplant management. Protein-Losing Enteropathy (PLE) in Fontan patients — described 1976, but fully characterized mechanistically and prognostically in the 2000s — carries a 5-year mortality exceeding 50%. Neither entity would have appeared as a distinct Atlas condition in 2000 with its current level of mechanistic understanding and management protocols.</w:t>
      </w:r>
    </w:p>
    <w:p w14:paraId="5E8007BE" w14:textId="77777777" w:rsidR="000952C7" w:rsidRDefault="00000000">
      <w:pPr>
        <w:pStyle w:val="Heading1"/>
        <w:spacing w:before="240"/>
      </w:pPr>
      <w:r>
        <w:rPr>
          <w:sz w:val="24"/>
          <w:szCs w:val="24"/>
        </w:rPr>
        <w:t>What Remained the Same — and Why That Matters</w:t>
      </w:r>
    </w:p>
    <w:p w14:paraId="70B5FD2E" w14:textId="77777777" w:rsidR="000952C7" w:rsidRDefault="00000000">
      <w:pPr>
        <w:spacing w:before="60" w:after="80"/>
        <w:jc w:val="both"/>
      </w:pPr>
      <w:r>
        <w:t xml:space="preserve">The 76 pre-2000 conditions are not static. Many have been profoundly transformed by molecular understanding even though they existed as clinical entities before 2000. Hypertrophic Cardiomyopathy was described in 1958 and its sarcomere genetics (MYH7, MYBPC3) established in the 1990s — but it remained without a targeted therapy until </w:t>
      </w:r>
      <w:proofErr w:type="spellStart"/>
      <w:r>
        <w:t>mavacamten</w:t>
      </w:r>
      <w:proofErr w:type="spellEnd"/>
      <w:r>
        <w:t xml:space="preserve"> (a myosin inhibitor) received FDA approval in 2022. Dilated Cardiomyopathy has been progressively molecularly stratified — LMNA mutations (1999), TTN truncating variants (2012), and a panel of 50+ genes — each with different prognosis and, increasingly, different treatment implications. Pulmonary Arterial Hypertension as a clinical entity predates 2000, but the discovery of BMPR2 mutations in 2000 enabled genetic testing and cascade screening, transformed understanding of disease mechanism, and opened the pathway to </w:t>
      </w:r>
      <w:proofErr w:type="spellStart"/>
      <w:r>
        <w:t>sotatercept</w:t>
      </w:r>
      <w:proofErr w:type="spellEnd"/>
      <w:r>
        <w:t xml:space="preserve"> (an activin receptor ligand trap targeting the same pathway), FDA approved in 2024.</w:t>
      </w:r>
    </w:p>
    <w:p w14:paraId="10BEC2E7" w14:textId="77777777" w:rsidR="000952C7" w:rsidRDefault="00000000">
      <w:pPr>
        <w:spacing w:before="60" w:after="80"/>
        <w:jc w:val="both"/>
      </w:pPr>
      <w:r>
        <w:t>Kawasaki disease, described in 1967, still has no identified causative gene — but the inflammatory pathway biology has been characterized enough to define IL-1 pathway inhibitors as a rescue therapy for IVIG-refractory cases. The treatment has changed even though the fundamental entity has not. This pattern — a pre-2000 clinical entity transformed by post-2000 molecular biology without becoming a 'new' condition — is one of the most important features of the pediatric cardiology knowledge landscape. The Atlas count understates the depth of change.</w:t>
      </w:r>
    </w:p>
    <w:p w14:paraId="0147CEB2" w14:textId="77777777" w:rsidR="000952C7" w:rsidRDefault="00000000">
      <w:pPr>
        <w:pStyle w:val="Heading1"/>
        <w:spacing w:before="240"/>
      </w:pPr>
      <w:r>
        <w:rPr>
          <w:sz w:val="24"/>
          <w:szCs w:val="24"/>
        </w:rPr>
        <w:lastRenderedPageBreak/>
        <w:t>The Surgical Excellence Era Meets the Precision Medicine Era</w:t>
      </w:r>
    </w:p>
    <w:p w14:paraId="3AD12DAC" w14:textId="77777777" w:rsidR="000952C7" w:rsidRDefault="00000000">
      <w:pPr>
        <w:spacing w:before="60" w:after="80"/>
        <w:jc w:val="both"/>
      </w:pPr>
      <w:r>
        <w:t>Pediatric cardiology's historical strength was in the operating room. By 2000, survival rates for most congenital heart defects had been transformed by four decades of surgical innovation. What the subsequent 25 years added was the molecular layer beneath the anatomy: why some hearts with the same structural defect have dramatically different outcomes, why some patients with corrected TOF develop lethal arrhythmias at age 30 while others do not, and why the same VSD in two children can behave so differently depending on genetic background. That molecular layer is still being written.</w:t>
      </w:r>
    </w:p>
    <w:p w14:paraId="05D2035E" w14:textId="77777777" w:rsidR="000952C7" w:rsidRDefault="00000000">
      <w:pPr>
        <w:spacing w:before="60" w:after="80"/>
        <w:jc w:val="both"/>
      </w:pPr>
      <w:r>
        <w:t xml:space="preserve">The convergence is most visible in conditions like ARVC — clinically recognized before 2000, but its </w:t>
      </w:r>
      <w:proofErr w:type="spellStart"/>
      <w:r>
        <w:t>desmosomal</w:t>
      </w:r>
      <w:proofErr w:type="spellEnd"/>
      <w:r>
        <w:t xml:space="preserve"> genetics (DSP, PKP2, DSG2, DSC2, JUP) progressively defined between 2000 and 2010, and its Task Force diagnostic criteria substantially revised in 2010 to incorporate genetic findings. A patient diagnosed with ARVC in 1998 received a clinical diagnosis; the same patient today receives a genetic diagnosis with implications for family cascade screening, genotype-specific arrhythmia risk stratification, and emerging gene therapy targets. The entity is the same; the clinical framework is fundamentally different.</w:t>
      </w:r>
    </w:p>
    <w:p w14:paraId="64D7F0F5" w14:textId="77777777" w:rsidR="000952C7" w:rsidRDefault="00000000">
      <w:pPr>
        <w:pStyle w:val="Heading1"/>
        <w:spacing w:before="240"/>
      </w:pPr>
      <w:r>
        <w:rPr>
          <w:sz w:val="24"/>
          <w:szCs w:val="24"/>
        </w:rPr>
        <w:t>The Data Problem in Rare Inherited Cardiac Conditions</w:t>
      </w:r>
    </w:p>
    <w:p w14:paraId="4B43CF9A" w14:textId="77777777" w:rsidR="000952C7" w:rsidRDefault="00000000">
      <w:pPr>
        <w:spacing w:before="60" w:after="80"/>
        <w:jc w:val="both"/>
      </w:pPr>
      <w:r>
        <w:t xml:space="preserve">The 28 post-2000 conditions share a common feature: they are rare enough that no single institution can build meaningful evidence. CPVT affects an estimated 1 in 10,000 people — approximately 3,000–6,000 children in the US. Short QT Syndrome has fewer than 500 documented families in the literature. Timothy Syndrome has approximately 25 known cases globally. </w:t>
      </w:r>
      <w:proofErr w:type="spellStart"/>
      <w:r>
        <w:t>Loeys</w:t>
      </w:r>
      <w:proofErr w:type="spellEnd"/>
      <w:r>
        <w:t>-Dietz Syndrome has an estimated 5,000 patients in North America. For each of these conditions, the fundamental clinical questions remain unanswered: What is the real risk of sudden death? Which patients need an ICD? What is the optimal surgical threshold? What is the genotype-phenotype correlation?</w:t>
      </w:r>
    </w:p>
    <w:p w14:paraId="038036AB" w14:textId="77777777" w:rsidR="000952C7" w:rsidRDefault="00000000">
      <w:pPr>
        <w:spacing w:before="60" w:after="80"/>
        <w:jc w:val="both"/>
      </w:pPr>
      <w:r>
        <w:t xml:space="preserve">None of these questions can be answered within a single center. The patient populations require federation by design — not as a methodological preference, but as a mathematical necessity. A center seeing 2–3 Timothy Syndrome patients per decade cannot power a clinical observation study. A center seeing 10–15 </w:t>
      </w:r>
      <w:proofErr w:type="spellStart"/>
      <w:r>
        <w:t>Loeys</w:t>
      </w:r>
      <w:proofErr w:type="spellEnd"/>
      <w:r>
        <w:t xml:space="preserve">-Dietz patients per year cannot determine whether TGFBR1 versus TGFBR2 mutations carry different surgical thresholds without pooling with 15 other centers. The rare inherited arrhythmia and </w:t>
      </w:r>
      <w:proofErr w:type="spellStart"/>
      <w:r>
        <w:t>aortopathy</w:t>
      </w:r>
      <w:proofErr w:type="spellEnd"/>
      <w:r>
        <w:t xml:space="preserve"> conditions that define the post-2000 growth in pediatric cardiology are precisely the conditions for which </w:t>
      </w:r>
      <w:proofErr w:type="spellStart"/>
      <w:r>
        <w:t>BevelCloud's</w:t>
      </w:r>
      <w:proofErr w:type="spellEnd"/>
      <w:r>
        <w:t xml:space="preserve"> federated infrastructure provides the most irreplaceable value.</w:t>
      </w:r>
    </w:p>
    <w:p w14:paraId="68BDEAED" w14:textId="77777777" w:rsidR="000952C7" w:rsidRDefault="00000000">
      <w:pPr>
        <w:pStyle w:val="Heading1"/>
        <w:spacing w:before="240"/>
      </w:pPr>
      <w:r>
        <w:rPr>
          <w:sz w:val="24"/>
          <w:szCs w:val="24"/>
        </w:rPr>
        <w:t>Implications for Pediatric Moonshot</w:t>
      </w:r>
    </w:p>
    <w:p w14:paraId="58EA77C3" w14:textId="020AF015" w:rsidR="000952C7" w:rsidRDefault="00000000">
      <w:pPr>
        <w:pStyle w:val="ListParagraph"/>
        <w:numPr>
          <w:ilvl w:val="0"/>
          <w:numId w:val="2"/>
        </w:numPr>
        <w:spacing w:before="40" w:after="60"/>
      </w:pPr>
      <w:r>
        <w:t xml:space="preserve">The +37% knowledge growth is concentrated in conditions where evidence generation requires federation. CPVT, Timothy Syndrome, Short QT Syndrome, </w:t>
      </w:r>
      <w:proofErr w:type="spellStart"/>
      <w:r>
        <w:t>Loeys</w:t>
      </w:r>
      <w:proofErr w:type="spellEnd"/>
      <w:r>
        <w:t xml:space="preserve">-Dietz Syndrome, and SMAD3 </w:t>
      </w:r>
      <w:proofErr w:type="spellStart"/>
      <w:r>
        <w:t>aortopathy</w:t>
      </w:r>
      <w:proofErr w:type="spellEnd"/>
      <w:r>
        <w:t xml:space="preserve"> collectively have patient populations too small for any single center to answer fundamental clinical questions. </w:t>
      </w:r>
      <w:r w:rsidR="00D1792C">
        <w:t xml:space="preserve">A </w:t>
      </w:r>
      <w:r>
        <w:t>federated model across children's hospital cardiac programs is not an efficiency gain for these conditions — it is the only viable path to evidence.</w:t>
      </w:r>
    </w:p>
    <w:p w14:paraId="360162BC" w14:textId="77777777" w:rsidR="000952C7" w:rsidRDefault="00000000">
      <w:pPr>
        <w:pStyle w:val="ListParagraph"/>
        <w:numPr>
          <w:ilvl w:val="0"/>
          <w:numId w:val="2"/>
        </w:numPr>
        <w:spacing w:before="40" w:after="60"/>
      </w:pPr>
      <w:r>
        <w:t xml:space="preserve">Molecular redefinition of pre-2000 conditions (HCM, DCM, PAH, ARVC) has created genotype-specific management implications that require genotype-annotated outcome data </w:t>
      </w:r>
      <w:r>
        <w:lastRenderedPageBreak/>
        <w:t xml:space="preserve">at scale. </w:t>
      </w:r>
      <w:proofErr w:type="spellStart"/>
      <w:r>
        <w:t>Mavacamten's</w:t>
      </w:r>
      <w:proofErr w:type="spellEnd"/>
      <w:r>
        <w:t xml:space="preserve"> approval for HCM, </w:t>
      </w:r>
      <w:proofErr w:type="spellStart"/>
      <w:r>
        <w:t>sotatercept</w:t>
      </w:r>
      <w:proofErr w:type="spellEnd"/>
      <w:r>
        <w:t xml:space="preserve"> for PAH, and LMNA-specific risk stratification in DCM each depend on knowing the genetic subtype. AI agents that map genotype to phenotype across federated hospital datasets can accelerate the clinical translation of this molecular knowledge.</w:t>
      </w:r>
    </w:p>
    <w:p w14:paraId="6E35998A" w14:textId="0567FE2A" w:rsidR="000952C7" w:rsidRDefault="00000000">
      <w:pPr>
        <w:pStyle w:val="ListParagraph"/>
        <w:numPr>
          <w:ilvl w:val="0"/>
          <w:numId w:val="2"/>
        </w:numPr>
        <w:spacing w:before="40" w:after="60"/>
      </w:pPr>
      <w:r>
        <w:t xml:space="preserve">MIS-C (2020) demonstrates that entirely new pediatric cardiac conditions will continue to be described. A federated surveillance infrastructure — able to detect emerging clustering of cardiac phenotypes across children's hospital networks — provides an early-warning system for future post-infectious or post-immunological cardiac syndromes. </w:t>
      </w:r>
      <w:r w:rsidR="00D1792C">
        <w:t>A</w:t>
      </w:r>
      <w:r>
        <w:t xml:space="preserve"> real-time federated query capability is the infrastructure analog to genomic surveillance in infectious disease.</w:t>
      </w:r>
    </w:p>
    <w:p w14:paraId="19503BC5" w14:textId="018E348E" w:rsidR="000952C7" w:rsidRDefault="00000000">
      <w:pPr>
        <w:pStyle w:val="ListParagraph"/>
        <w:numPr>
          <w:ilvl w:val="0"/>
          <w:numId w:val="2"/>
        </w:numPr>
        <w:spacing w:before="40" w:after="60"/>
      </w:pPr>
      <w:r>
        <w:t>The Fontan population (~100,000 US patients, growing by ~1,500/year) is aging into conditions — FALD, Fontan failure, HCC — that were not anticipated when the operations were designed. These patients are transitioning from pediatric to adult congenital heart disease care, often losing subspecialty expertise in the transition. Federated Fontan registries— spanning pediatric and adult congenital programs — are the infrastructure needed to manage this population longitudinally.</w:t>
      </w:r>
    </w:p>
    <w:p w14:paraId="3611B920" w14:textId="77777777" w:rsidR="000952C7" w:rsidRDefault="00000000">
      <w:pPr>
        <w:pStyle w:val="Heading1"/>
        <w:spacing w:before="240"/>
      </w:pPr>
      <w:r>
        <w:rPr>
          <w:sz w:val="24"/>
          <w:szCs w:val="24"/>
        </w:rPr>
        <w:t>Conclusions</w:t>
      </w:r>
    </w:p>
    <w:p w14:paraId="60F7E22E" w14:textId="77777777" w:rsidR="000952C7" w:rsidRDefault="00000000">
      <w:pPr>
        <w:spacing w:before="60" w:after="80"/>
        <w:jc w:val="both"/>
      </w:pPr>
      <w:r>
        <w:t xml:space="preserve">Pediatric cardiology grew by +37% between 2000 and 2026 — from approximately 76 to 104 recognized conditions. The growth was not structural: cardiologists in 2000 had already mapped the holes in the heart. What the molecular era added was the genetic vocabulary to distinguish CPVT from LQTS, </w:t>
      </w:r>
      <w:proofErr w:type="spellStart"/>
      <w:r>
        <w:t>Loeys</w:t>
      </w:r>
      <w:proofErr w:type="spellEnd"/>
      <w:r>
        <w:t>-Dietz from Marfan, FALD from generic hepatic congestion, and MIS-C from myocarditis of other etiologies. Those distinctions are not academic — they determine whether a child receives a beta blocker or a defibrillator, elective repair at 5 cm or urgent surgery at 4 cm, IVIG or IL-1 blockade.</w:t>
      </w:r>
    </w:p>
    <w:p w14:paraId="20ACEB95" w14:textId="4782CDE7" w:rsidR="000952C7" w:rsidRDefault="00000000">
      <w:pPr>
        <w:spacing w:before="60" w:after="80"/>
        <w:jc w:val="both"/>
      </w:pPr>
      <w:r>
        <w:t xml:space="preserve">The defining feature of the post-2000 knowledge expansion is rarity. The conditions added since 2000 are individually rare enough that the standard model of evidence generation — single-center observational studies, then multi-center trials — breaks down. They require federation by design, at the level of data infrastructure. The Pediatric Cardiac Atlas is the condition-level map of where that federation is needed. </w:t>
      </w:r>
    </w:p>
    <w:p w14:paraId="24D68A0C" w14:textId="77777777" w:rsidR="000952C7" w:rsidRDefault="000952C7">
      <w:pPr>
        <w:spacing w:before="60" w:after="60"/>
      </w:pPr>
    </w:p>
    <w:p w14:paraId="557ABCCF" w14:textId="77777777" w:rsidR="000952C7" w:rsidRDefault="000952C7">
      <w:pPr>
        <w:pBdr>
          <w:bottom w:val="single" w:sz="6" w:space="1" w:color="2E4E7E"/>
        </w:pBdr>
        <w:spacing w:before="100" w:after="100"/>
      </w:pPr>
    </w:p>
    <w:p w14:paraId="60AA31DB" w14:textId="77777777" w:rsidR="000952C7" w:rsidRDefault="00000000">
      <w:pPr>
        <w:pStyle w:val="Heading2"/>
        <w:spacing w:before="160"/>
      </w:pPr>
      <w:r>
        <w:t>ARTICLE INFORMATION</w:t>
      </w:r>
    </w:p>
    <w:p w14:paraId="7C478488" w14:textId="77777777" w:rsidR="000952C7" w:rsidRDefault="00000000">
      <w:pPr>
        <w:spacing w:before="60" w:after="60"/>
      </w:pPr>
      <w:r>
        <w:rPr>
          <w:rFonts w:ascii="Arial" w:eastAsia="Arial" w:hAnsi="Arial" w:cs="Arial"/>
          <w:b/>
          <w:bCs/>
          <w:sz w:val="18"/>
          <w:szCs w:val="18"/>
        </w:rPr>
        <w:t xml:space="preserve">Published: </w:t>
      </w:r>
      <w:r>
        <w:t xml:space="preserve">2026. </w:t>
      </w:r>
      <w:proofErr w:type="gramStart"/>
      <w:r>
        <w:t>doi:10.PM</w:t>
      </w:r>
      <w:proofErr w:type="gramEnd"/>
      <w:r>
        <w:t>/cardiac-25yr.2026</w:t>
      </w:r>
    </w:p>
    <w:p w14:paraId="5EB45DC6" w14:textId="3237D2F1" w:rsidR="000952C7" w:rsidRDefault="00000000">
      <w:pPr>
        <w:spacing w:before="60" w:after="60"/>
      </w:pPr>
      <w:r>
        <w:rPr>
          <w:rFonts w:ascii="Arial" w:eastAsia="Arial" w:hAnsi="Arial" w:cs="Arial"/>
          <w:b/>
          <w:bCs/>
          <w:sz w:val="18"/>
          <w:szCs w:val="18"/>
        </w:rPr>
        <w:t xml:space="preserve">Author Affiliation: </w:t>
      </w:r>
      <w:r>
        <w:t>Pediatric Moonshot,</w:t>
      </w:r>
    </w:p>
    <w:p w14:paraId="487E653F" w14:textId="31880FE7" w:rsidR="000952C7" w:rsidRDefault="00000000">
      <w:pPr>
        <w:spacing w:before="60" w:after="60"/>
      </w:pPr>
      <w:r>
        <w:rPr>
          <w:rFonts w:ascii="Arial" w:eastAsia="Arial" w:hAnsi="Arial" w:cs="Arial"/>
          <w:b/>
          <w:bCs/>
          <w:sz w:val="18"/>
          <w:szCs w:val="18"/>
        </w:rPr>
        <w:t xml:space="preserve">Corresponding Author: </w:t>
      </w:r>
      <w:r>
        <w:t>Pediatric Moonshot. @pediatricmoonshot.org</w:t>
      </w:r>
    </w:p>
    <w:p w14:paraId="33FF0671" w14:textId="77777777" w:rsidR="000952C7" w:rsidRDefault="00000000">
      <w:pPr>
        <w:spacing w:before="60" w:after="60"/>
      </w:pPr>
      <w:r>
        <w:rPr>
          <w:rFonts w:ascii="Arial" w:eastAsia="Arial" w:hAnsi="Arial" w:cs="Arial"/>
          <w:b/>
          <w:bCs/>
          <w:sz w:val="18"/>
          <w:szCs w:val="18"/>
        </w:rPr>
        <w:t xml:space="preserve">Conflict of Interest Disclosures: </w:t>
      </w:r>
      <w:r>
        <w:t>None reported.</w:t>
      </w:r>
    </w:p>
    <w:p w14:paraId="59A6EDBF" w14:textId="77777777" w:rsidR="000952C7" w:rsidRDefault="00000000">
      <w:pPr>
        <w:spacing w:before="60" w:after="60"/>
      </w:pPr>
      <w:r>
        <w:rPr>
          <w:rFonts w:ascii="Arial" w:eastAsia="Arial" w:hAnsi="Arial" w:cs="Arial"/>
          <w:b/>
          <w:bCs/>
          <w:sz w:val="18"/>
          <w:szCs w:val="18"/>
        </w:rPr>
        <w:t xml:space="preserve">Methodology: </w:t>
      </w:r>
      <w:r>
        <w:t xml:space="preserve">Citation-year and gene-discovery analysis of all 104 Pediatric Cardiology Atlas entries (March 2026 version). Year assigned reflects the earlier of: first clinical description, gene </w:t>
      </w:r>
      <w:r>
        <w:lastRenderedPageBreak/>
        <w:t>identification, or formal diagnostic classification as a distinct entity. Counts are approximate for conditions at the 1999/2000 boundary.</w:t>
      </w:r>
    </w:p>
    <w:p w14:paraId="73FBAA46" w14:textId="77777777" w:rsidR="000952C7" w:rsidRDefault="000952C7">
      <w:pPr>
        <w:spacing w:before="60" w:after="60"/>
      </w:pPr>
    </w:p>
    <w:p w14:paraId="18C0433B" w14:textId="77777777" w:rsidR="000952C7" w:rsidRDefault="00000000">
      <w:pPr>
        <w:pStyle w:val="Heading2"/>
        <w:spacing w:before="160"/>
      </w:pPr>
      <w:r>
        <w:t>SOURCES</w:t>
      </w:r>
    </w:p>
    <w:p w14:paraId="22DFF565" w14:textId="77777777" w:rsidR="000952C7" w:rsidRDefault="00000000">
      <w:pPr>
        <w:spacing w:before="60" w:after="80"/>
        <w:jc w:val="both"/>
      </w:pPr>
      <w:r>
        <w:t>Pediatric Cardiac Atlas 2026 · AHA · ACC · ESC · AAP · Published clinical and genomics literature</w:t>
      </w:r>
    </w:p>
    <w:sectPr w:rsidR="000952C7">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E562D" w14:textId="77777777" w:rsidR="00DA32CC" w:rsidRDefault="00DA32CC">
      <w:r>
        <w:separator/>
      </w:r>
    </w:p>
  </w:endnote>
  <w:endnote w:type="continuationSeparator" w:id="0">
    <w:p w14:paraId="155EA0ED" w14:textId="77777777" w:rsidR="00DA32CC" w:rsidRDefault="00DA3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E718" w14:textId="77777777" w:rsidR="000952C7" w:rsidRDefault="00000000">
    <w:pPr>
      <w:pBdr>
        <w:top w:val="single" w:sz="4" w:space="1" w:color="CCCCCC"/>
      </w:pBdr>
      <w:spacing w:before="80"/>
      <w:jc w:val="center"/>
    </w:pPr>
    <w:r>
      <w:rPr>
        <w:rFonts w:ascii="Arial" w:eastAsia="Arial" w:hAnsi="Arial" w:cs="Arial"/>
        <w:color w:val="888888"/>
        <w:sz w:val="16"/>
        <w:szCs w:val="16"/>
      </w:rPr>
      <w:t>© 2026 Pediatric Moonshot. Open access under CC-BY-NC-ND.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232D" w14:textId="77777777" w:rsidR="00DA32CC" w:rsidRDefault="00DA32CC">
      <w:r>
        <w:separator/>
      </w:r>
    </w:p>
  </w:footnote>
  <w:footnote w:type="continuationSeparator" w:id="0">
    <w:p w14:paraId="1DF1D85E" w14:textId="77777777" w:rsidR="00DA32CC" w:rsidRDefault="00DA3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732BD" w14:textId="77777777" w:rsidR="000952C7" w:rsidRDefault="00000000">
    <w:pPr>
      <w:pBdr>
        <w:bottom w:val="single" w:sz="4" w:space="1" w:color="2E4E7E"/>
      </w:pBdr>
      <w:tabs>
        <w:tab w:val="right" w:pos="9360"/>
      </w:tabs>
      <w:spacing w:after="100"/>
    </w:pPr>
    <w:r>
      <w:rPr>
        <w:rFonts w:ascii="Arial" w:eastAsia="Arial" w:hAnsi="Arial" w:cs="Arial"/>
        <w:color w:val="2E4E7E"/>
        <w:sz w:val="16"/>
        <w:szCs w:val="16"/>
      </w:rPr>
      <w:t>Pediatric Moonshot | Pediatric Cardiac Atlas 2026</w:t>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r>
    <w:r>
      <w:rPr>
        <w:rFonts w:ascii="Arial" w:eastAsia="Arial" w:hAnsi="Arial" w:cs="Arial"/>
        <w:color w:val="888888"/>
        <w:sz w:val="16"/>
        <w:szCs w:val="16"/>
      </w:rPr>
      <w:tab/>
      <w:t xml:space="preserve">Page </w:t>
    </w:r>
    <w:r>
      <w:rPr>
        <w:rFonts w:ascii="Arial" w:eastAsia="Arial" w:hAnsi="Arial" w:cs="Arial"/>
        <w:color w:val="888888"/>
        <w:sz w:val="16"/>
        <w:szCs w:val="16"/>
      </w:rPr>
      <w:fldChar w:fldCharType="begin"/>
    </w:r>
    <w:r>
      <w:rPr>
        <w:rFonts w:ascii="Arial" w:eastAsia="Arial" w:hAnsi="Arial" w:cs="Arial"/>
        <w:color w:val="888888"/>
        <w:sz w:val="16"/>
        <w:szCs w:val="16"/>
      </w:rPr>
      <w:instrText>PAGE</w:instrText>
    </w:r>
    <w:r>
      <w:rPr>
        <w:rFonts w:ascii="Arial" w:eastAsia="Arial" w:hAnsi="Arial" w:cs="Arial"/>
        <w:color w:val="888888"/>
        <w:sz w:val="16"/>
        <w:szCs w:val="16"/>
      </w:rPr>
      <w:fldChar w:fldCharType="separate"/>
    </w:r>
    <w:r w:rsidR="00783F12">
      <w:rPr>
        <w:rFonts w:ascii="Arial" w:eastAsia="Arial" w:hAnsi="Arial" w:cs="Arial"/>
        <w:noProof/>
        <w:color w:val="888888"/>
        <w:sz w:val="16"/>
        <w:szCs w:val="16"/>
      </w:rPr>
      <w:t>1</w:t>
    </w:r>
    <w:r>
      <w:rPr>
        <w:rFonts w:ascii="Arial" w:eastAsia="Arial" w:hAnsi="Arial" w:cs="Arial"/>
        <w:color w:val="88888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F1D07"/>
    <w:multiLevelType w:val="hybridMultilevel"/>
    <w:tmpl w:val="73DC3C0C"/>
    <w:lvl w:ilvl="0" w:tplc="F5AEBA18">
      <w:start w:val="1"/>
      <w:numFmt w:val="bullet"/>
      <w:lvlText w:val="•"/>
      <w:lvlJc w:val="left"/>
      <w:pPr>
        <w:ind w:left="720" w:hanging="360"/>
      </w:pPr>
    </w:lvl>
    <w:lvl w:ilvl="1" w:tplc="ABC05EDC">
      <w:numFmt w:val="decimal"/>
      <w:lvlText w:val=""/>
      <w:lvlJc w:val="left"/>
    </w:lvl>
    <w:lvl w:ilvl="2" w:tplc="A57AEB68">
      <w:numFmt w:val="decimal"/>
      <w:lvlText w:val=""/>
      <w:lvlJc w:val="left"/>
    </w:lvl>
    <w:lvl w:ilvl="3" w:tplc="922E7A9C">
      <w:numFmt w:val="decimal"/>
      <w:lvlText w:val=""/>
      <w:lvlJc w:val="left"/>
    </w:lvl>
    <w:lvl w:ilvl="4" w:tplc="3B1634A6">
      <w:numFmt w:val="decimal"/>
      <w:lvlText w:val=""/>
      <w:lvlJc w:val="left"/>
    </w:lvl>
    <w:lvl w:ilvl="5" w:tplc="2ADA50AC">
      <w:numFmt w:val="decimal"/>
      <w:lvlText w:val=""/>
      <w:lvlJc w:val="left"/>
    </w:lvl>
    <w:lvl w:ilvl="6" w:tplc="5EAEA3E2">
      <w:numFmt w:val="decimal"/>
      <w:lvlText w:val=""/>
      <w:lvlJc w:val="left"/>
    </w:lvl>
    <w:lvl w:ilvl="7" w:tplc="884C62D4">
      <w:numFmt w:val="decimal"/>
      <w:lvlText w:val=""/>
      <w:lvlJc w:val="left"/>
    </w:lvl>
    <w:lvl w:ilvl="8" w:tplc="E3582A30">
      <w:numFmt w:val="decimal"/>
      <w:lvlText w:val=""/>
      <w:lvlJc w:val="left"/>
    </w:lvl>
  </w:abstractNum>
  <w:abstractNum w:abstractNumId="1" w15:restartNumberingAfterBreak="0">
    <w:nsid w:val="5F7C75E7"/>
    <w:multiLevelType w:val="hybridMultilevel"/>
    <w:tmpl w:val="FAD0B884"/>
    <w:lvl w:ilvl="0" w:tplc="3920E388">
      <w:start w:val="1"/>
      <w:numFmt w:val="bullet"/>
      <w:lvlText w:val="●"/>
      <w:lvlJc w:val="left"/>
      <w:pPr>
        <w:ind w:left="720" w:hanging="360"/>
      </w:pPr>
    </w:lvl>
    <w:lvl w:ilvl="1" w:tplc="8236EB96">
      <w:start w:val="1"/>
      <w:numFmt w:val="bullet"/>
      <w:lvlText w:val="○"/>
      <w:lvlJc w:val="left"/>
      <w:pPr>
        <w:ind w:left="1440" w:hanging="360"/>
      </w:pPr>
    </w:lvl>
    <w:lvl w:ilvl="2" w:tplc="7924F700">
      <w:start w:val="1"/>
      <w:numFmt w:val="bullet"/>
      <w:lvlText w:val="■"/>
      <w:lvlJc w:val="left"/>
      <w:pPr>
        <w:ind w:left="2160" w:hanging="360"/>
      </w:pPr>
    </w:lvl>
    <w:lvl w:ilvl="3" w:tplc="4F5CE5C6">
      <w:start w:val="1"/>
      <w:numFmt w:val="bullet"/>
      <w:lvlText w:val="●"/>
      <w:lvlJc w:val="left"/>
      <w:pPr>
        <w:ind w:left="2880" w:hanging="360"/>
      </w:pPr>
    </w:lvl>
    <w:lvl w:ilvl="4" w:tplc="5C105014">
      <w:start w:val="1"/>
      <w:numFmt w:val="bullet"/>
      <w:lvlText w:val="○"/>
      <w:lvlJc w:val="left"/>
      <w:pPr>
        <w:ind w:left="3600" w:hanging="360"/>
      </w:pPr>
    </w:lvl>
    <w:lvl w:ilvl="5" w:tplc="6C8EF058">
      <w:start w:val="1"/>
      <w:numFmt w:val="bullet"/>
      <w:lvlText w:val="■"/>
      <w:lvlJc w:val="left"/>
      <w:pPr>
        <w:ind w:left="4320" w:hanging="360"/>
      </w:pPr>
    </w:lvl>
    <w:lvl w:ilvl="6" w:tplc="02AE4502">
      <w:start w:val="1"/>
      <w:numFmt w:val="bullet"/>
      <w:lvlText w:val="●"/>
      <w:lvlJc w:val="left"/>
      <w:pPr>
        <w:ind w:left="5040" w:hanging="360"/>
      </w:pPr>
    </w:lvl>
    <w:lvl w:ilvl="7" w:tplc="CB4CA326">
      <w:start w:val="1"/>
      <w:numFmt w:val="bullet"/>
      <w:lvlText w:val="●"/>
      <w:lvlJc w:val="left"/>
      <w:pPr>
        <w:ind w:left="5760" w:hanging="360"/>
      </w:pPr>
    </w:lvl>
    <w:lvl w:ilvl="8" w:tplc="9528B424">
      <w:start w:val="1"/>
      <w:numFmt w:val="bullet"/>
      <w:lvlText w:val="●"/>
      <w:lvlJc w:val="left"/>
      <w:pPr>
        <w:ind w:left="6480" w:hanging="360"/>
      </w:pPr>
    </w:lvl>
  </w:abstractNum>
  <w:num w:numId="1" w16cid:durableId="901913881">
    <w:abstractNumId w:val="1"/>
    <w:lvlOverride w:ilvl="0">
      <w:startOverride w:val="1"/>
    </w:lvlOverride>
  </w:num>
  <w:num w:numId="2" w16cid:durableId="838929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2C7"/>
    <w:rsid w:val="000952C7"/>
    <w:rsid w:val="000E2944"/>
    <w:rsid w:val="004625F5"/>
    <w:rsid w:val="00783F12"/>
    <w:rsid w:val="00D1792C"/>
    <w:rsid w:val="00DA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1EBB0E"/>
  <w15:docId w15:val="{E984C5F6-262A-3E4E-8E8B-81EE2610A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4E7E"/>
      </w:pBdr>
      <w:spacing w:before="280" w:after="100"/>
      <w:outlineLvl w:val="0"/>
    </w:pPr>
    <w:rPr>
      <w:rFonts w:ascii="Arial" w:eastAsia="Arial" w:hAnsi="Arial" w:cs="Arial"/>
      <w:b/>
      <w:bCs/>
      <w:color w:val="2E4E7E"/>
      <w:sz w:val="26"/>
      <w:szCs w:val="26"/>
    </w:rPr>
  </w:style>
  <w:style w:type="paragraph" w:styleId="Heading2">
    <w:name w:val="heading 2"/>
    <w:uiPriority w:val="9"/>
    <w:unhideWhenUsed/>
    <w:qFormat/>
    <w:pPr>
      <w:spacing w:before="180" w:after="60"/>
      <w:outlineLvl w:val="1"/>
    </w:pPr>
    <w:rPr>
      <w:rFonts w:ascii="Arial" w:eastAsia="Arial" w:hAnsi="Arial" w:cs="Arial"/>
      <w:b/>
      <w:bCs/>
      <w:color w:val="2E4E7E"/>
      <w:sz w:val="22"/>
      <w:szCs w:val="22"/>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2627</Words>
  <Characters>14979</Characters>
  <Application>Microsoft Office Word</Application>
  <DocSecurity>0</DocSecurity>
  <Lines>124</Lines>
  <Paragraphs>35</Paragraphs>
  <ScaleCrop>false</ScaleCrop>
  <Company/>
  <LinksUpToDate>false</LinksUpToDate>
  <CharactersWithSpaces>17571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chou</cp:lastModifiedBy>
  <cp:revision>2</cp:revision>
  <cp:lastPrinted>2026-06-03T20:33:00Z</cp:lastPrinted>
  <dcterms:created xsi:type="dcterms:W3CDTF">2026-06-03T20:34:00Z</dcterms:created>
  <dcterms:modified xsi:type="dcterms:W3CDTF">2026-06-03T20:34:00Z</dcterms:modified>
</cp:coreProperties>
</file>